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JSZC-320581-SZJZ-G2025-0074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经开区大气自动监</w:t>
      </w:r>
      <w:bookmarkStart w:id="0" w:name="_GoBack"/>
      <w:r/>
      <w:bookmarkEnd w:id="0"/>
      <w:r>
        <w:rPr>
          <w:rFonts w:hint="eastAsia" w:ascii="Arial" w:hAnsi="Arial" w:eastAsia="宋体" w:cs="Times New Roman"/>
          <w:b/>
          <w:bCs/>
          <w:sz w:val="32"/>
          <w:szCs w:val="24"/>
        </w:rPr>
        <w:t xml:space="preserve">测设备运维服务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1" w:name="_Toc120614210"/>
      <w:r/>
      <w:bookmarkStart w:id="2" w:name="_Toc523127445"/>
      <w:r/>
      <w:bookmarkStart w:id="3" w:name="_Toc16938516"/>
      <w:r/>
      <w:bookmarkStart w:id="4" w:name="_Toc20823272"/>
      <w:r/>
      <w:bookmarkStart w:id="5" w:name="_Toc513029200"/>
      <w:r/>
      <w:bookmarkStart w:id="6" w:name="_Toc479757206"/>
      <w:r>
        <w:rPr>
          <w:rFonts w:ascii="等线 Light" w:hAnsi="等线 Light" w:eastAsia="黑体" w:cs="Times New Roman"/>
          <w:b/>
          <w:bCs/>
          <w:sz w:val="32"/>
          <w:szCs w:val="32"/>
          <w:lang w:val="zh-CN"/>
        </w:rPr>
        <w:t xml:space="preserve">目录</w:t>
      </w:r>
      <w:r/>
    </w:p>
    <w:p>
      <w:pPr>
        <w:pStyle w:val="745"/>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2623485" w:anchor="_Toc212623485" w:history="1">
        <w:r>
          <w:rPr>
            <w:rStyle w:val="770"/>
            <w:rFonts w:ascii="宋体" w:hAnsi="宋体"/>
          </w:rPr>
          <w:t xml:space="preserve">第一章  投标邀请</w:t>
        </w:r>
        <w:r>
          <w:tab/>
        </w:r>
        <w:r>
          <w:fldChar w:fldCharType="begin"/>
        </w:r>
        <w:r>
          <w:instrText xml:space="preserve"> PAGEREF _Toc212623485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6" w:anchor="_Toc212623486" w:history="1">
        <w:r>
          <w:rPr>
            <w:rStyle w:val="770"/>
            <w:rFonts w:ascii="Times New Roman" w:hAnsi="Times New Roman"/>
          </w:rPr>
          <w:t xml:space="preserve">一、项目基本情况</w:t>
        </w:r>
        <w:r>
          <w:tab/>
        </w:r>
        <w:r>
          <w:fldChar w:fldCharType="begin"/>
        </w:r>
        <w:r>
          <w:instrText xml:space="preserve"> PAGEREF _Toc212623486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7" w:anchor="_Toc212623487" w:history="1">
        <w:r>
          <w:rPr>
            <w:rStyle w:val="770"/>
            <w:rFonts w:ascii="Times New Roman" w:hAnsi="Times New Roman"/>
          </w:rPr>
          <w:t xml:space="preserve">二、申请人的资格要求</w:t>
        </w:r>
        <w:r>
          <w:tab/>
        </w:r>
        <w:r>
          <w:fldChar w:fldCharType="begin"/>
        </w:r>
        <w:r>
          <w:instrText xml:space="preserve"> PAGEREF _Toc212623487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8" w:anchor="_Toc212623488" w:history="1">
        <w:r>
          <w:rPr>
            <w:rStyle w:val="770"/>
            <w:rFonts w:ascii="Times New Roman" w:hAnsi="Times New Roman"/>
          </w:rPr>
          <w:t xml:space="preserve">三、获取招标文件</w:t>
        </w:r>
        <w:r>
          <w:tab/>
        </w:r>
        <w:r>
          <w:fldChar w:fldCharType="begin"/>
        </w:r>
        <w:r>
          <w:instrText xml:space="preserve"> PAGEREF _Toc212623488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9" w:anchor="_Toc212623489" w:history="1">
        <w:r>
          <w:rPr>
            <w:rStyle w:val="770"/>
            <w:rFonts w:ascii="Times New Roman" w:hAnsi="Times New Roman"/>
          </w:rPr>
          <w:t xml:space="preserve">四、提交投标文件截止时间、开标时间和地点</w:t>
        </w:r>
        <w:r>
          <w:tab/>
        </w:r>
        <w:r>
          <w:fldChar w:fldCharType="begin"/>
        </w:r>
        <w:r>
          <w:instrText xml:space="preserve"> PAGEREF _Toc212623489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0" w:anchor="_Toc212623490" w:history="1">
        <w:r>
          <w:rPr>
            <w:rStyle w:val="770"/>
            <w:rFonts w:ascii="Times New Roman" w:hAnsi="Times New Roman"/>
          </w:rPr>
          <w:t xml:space="preserve">五、公告期限</w:t>
        </w:r>
        <w:r>
          <w:tab/>
        </w:r>
        <w:r>
          <w:fldChar w:fldCharType="begin"/>
        </w:r>
        <w:r>
          <w:instrText xml:space="preserve"> PAGEREF _Toc212623490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1" w:anchor="_Toc212623491" w:history="1">
        <w:r>
          <w:rPr>
            <w:rStyle w:val="770"/>
            <w:rFonts w:ascii="Times New Roman" w:hAnsi="Times New Roman"/>
          </w:rPr>
          <w:t xml:space="preserve">六、其他补充事宜</w:t>
        </w:r>
        <w:r>
          <w:tab/>
        </w:r>
        <w:r>
          <w:fldChar w:fldCharType="begin"/>
        </w:r>
        <w:r>
          <w:instrText xml:space="preserve"> PAGEREF _Toc212623491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2" w:anchor="_Toc212623492" w:history="1">
        <w:r>
          <w:rPr>
            <w:rStyle w:val="770"/>
            <w:rFonts w:ascii="Times New Roman" w:hAnsi="Times New Roman"/>
          </w:rPr>
          <w:t xml:space="preserve">七、本次招标联系方式</w:t>
        </w:r>
        <w:r>
          <w:tab/>
        </w:r>
        <w:r>
          <w:fldChar w:fldCharType="begin"/>
        </w:r>
        <w:r>
          <w:instrText xml:space="preserve"> PAGEREF _Toc212623492 \h </w:instrText>
        </w:r>
        <w:r/>
        <w:r>
          <w:fldChar w:fldCharType="separate"/>
        </w:r>
        <w:r>
          <w:t xml:space="preserve">5</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493" w:anchor="_Toc212623493" w:history="1">
        <w:r>
          <w:rPr>
            <w:rStyle w:val="770"/>
            <w:rFonts w:ascii="宋体" w:hAnsi="宋体"/>
          </w:rPr>
          <w:t xml:space="preserve">第二章  投标人须知</w:t>
        </w:r>
        <w:r>
          <w:tab/>
        </w:r>
        <w:r>
          <w:fldChar w:fldCharType="begin"/>
        </w:r>
        <w:r>
          <w:instrText xml:space="preserve"> PAGEREF _Toc212623493 \h </w:instrText>
        </w:r>
        <w:r/>
        <w:r>
          <w:fldChar w:fldCharType="separate"/>
        </w:r>
        <w:r>
          <w:t xml:space="preserve">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4" w:anchor="_Toc212623494" w:history="1">
        <w:r>
          <w:rPr>
            <w:rStyle w:val="770"/>
            <w:rFonts w:ascii="Times New Roman" w:hAnsi="Times New Roman"/>
          </w:rPr>
          <w:t xml:space="preserve">一、总则</w:t>
        </w:r>
        <w:r>
          <w:tab/>
        </w:r>
        <w:r>
          <w:fldChar w:fldCharType="begin"/>
        </w:r>
        <w:r>
          <w:instrText xml:space="preserve"> PAGEREF _Toc212623494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5" w:anchor="_Toc212623495" w:history="1">
        <w:r>
          <w:rPr>
            <w:rStyle w:val="770"/>
            <w:rFonts w:ascii="宋体" w:hAnsi="宋体" w:cs="Arial"/>
          </w:rPr>
          <w:t xml:space="preserve">1、采购方式及适用法律</w:t>
        </w:r>
        <w:r>
          <w:tab/>
        </w:r>
        <w:r>
          <w:fldChar w:fldCharType="begin"/>
        </w:r>
        <w:r>
          <w:instrText xml:space="preserve"> PAGEREF _Toc212623495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6" w:anchor="_Toc212623496" w:history="1">
        <w:r>
          <w:rPr>
            <w:rStyle w:val="770"/>
            <w:rFonts w:ascii="宋体" w:hAnsi="宋体" w:cs="Arial"/>
          </w:rPr>
          <w:t xml:space="preserve">2、定义</w:t>
        </w:r>
        <w:r>
          <w:tab/>
        </w:r>
        <w:r>
          <w:fldChar w:fldCharType="begin"/>
        </w:r>
        <w:r>
          <w:instrText xml:space="preserve"> PAGEREF _Toc212623496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7" w:anchor="_Toc212623497" w:history="1">
        <w:r>
          <w:rPr>
            <w:rStyle w:val="770"/>
            <w:rFonts w:ascii="宋体" w:hAnsi="宋体" w:cs="Arial"/>
          </w:rPr>
          <w:t xml:space="preserve">3、合格的投标人</w:t>
        </w:r>
        <w:r>
          <w:tab/>
        </w:r>
        <w:r>
          <w:fldChar w:fldCharType="begin"/>
        </w:r>
        <w:r>
          <w:instrText xml:space="preserve"> PAGEREF _Toc212623497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8" w:anchor="_Toc212623498" w:history="1">
        <w:r>
          <w:rPr>
            <w:rStyle w:val="770"/>
            <w:rFonts w:ascii="宋体" w:hAnsi="宋体" w:cs="Arial"/>
          </w:rPr>
          <w:t xml:space="preserve">4、投标费用</w:t>
        </w:r>
        <w:r>
          <w:tab/>
        </w:r>
        <w:r>
          <w:fldChar w:fldCharType="begin"/>
        </w:r>
        <w:r>
          <w:instrText xml:space="preserve"> PAGEREF _Toc212623498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9" w:anchor="_Toc212623499" w:history="1">
        <w:r>
          <w:rPr>
            <w:rStyle w:val="770"/>
            <w:rFonts w:ascii="宋体" w:hAnsi="宋体" w:cs="Arial"/>
          </w:rPr>
          <w:t xml:space="preserve">5、招标文件的约束力</w:t>
        </w:r>
        <w:r>
          <w:tab/>
        </w:r>
        <w:r>
          <w:fldChar w:fldCharType="begin"/>
        </w:r>
        <w:r>
          <w:instrText xml:space="preserve"> PAGEREF _Toc212623499 \h </w:instrText>
        </w:r>
        <w:r/>
        <w:r>
          <w:fldChar w:fldCharType="separate"/>
        </w:r>
        <w:r>
          <w:t xml:space="preserve">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00" w:anchor="_Toc212623500" w:history="1">
        <w:r>
          <w:rPr>
            <w:rStyle w:val="770"/>
            <w:rFonts w:ascii="Times New Roman" w:hAnsi="Times New Roman"/>
          </w:rPr>
          <w:t xml:space="preserve">二、招标文件</w:t>
        </w:r>
        <w:r>
          <w:tab/>
        </w:r>
        <w:r>
          <w:fldChar w:fldCharType="begin"/>
        </w:r>
        <w:r>
          <w:instrText xml:space="preserve"> PAGEREF _Toc212623500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1" w:anchor="_Toc212623501" w:history="1">
        <w:r>
          <w:rPr>
            <w:rStyle w:val="770"/>
            <w:rFonts w:ascii="宋体" w:hAnsi="宋体" w:cs="Arial"/>
          </w:rPr>
          <w:t xml:space="preserve">6、招标文件构成</w:t>
        </w:r>
        <w:r>
          <w:tab/>
        </w:r>
        <w:r>
          <w:fldChar w:fldCharType="begin"/>
        </w:r>
        <w:r>
          <w:instrText xml:space="preserve"> PAGEREF _Toc212623501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2" w:anchor="_Toc212623502" w:history="1">
        <w:r>
          <w:rPr>
            <w:rStyle w:val="770"/>
            <w:rFonts w:ascii="宋体" w:hAnsi="宋体" w:cs="Arial"/>
          </w:rPr>
          <w:t xml:space="preserve">7、招标文件的澄清、修改</w:t>
        </w:r>
        <w:r>
          <w:tab/>
        </w:r>
        <w:r>
          <w:fldChar w:fldCharType="begin"/>
        </w:r>
        <w:r>
          <w:instrText xml:space="preserve"> PAGEREF _Toc212623502 \h </w:instrText>
        </w:r>
        <w:r/>
        <w:r>
          <w:fldChar w:fldCharType="separate"/>
        </w:r>
        <w:r>
          <w:t xml:space="preserve">7</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03" w:anchor="_Toc212623503" w:history="1">
        <w:r>
          <w:rPr>
            <w:rStyle w:val="770"/>
            <w:rFonts w:ascii="Times New Roman" w:hAnsi="Times New Roman"/>
          </w:rPr>
          <w:t xml:space="preserve">三、投标文件的编制</w:t>
        </w:r>
        <w:r>
          <w:tab/>
        </w:r>
        <w:r>
          <w:fldChar w:fldCharType="begin"/>
        </w:r>
        <w:r>
          <w:instrText xml:space="preserve"> PAGEREF _Toc212623503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4" w:anchor="_Toc212623504" w:history="1">
        <w:r>
          <w:rPr>
            <w:rStyle w:val="770"/>
            <w:rFonts w:ascii="宋体" w:hAnsi="宋体" w:cs="Arial"/>
          </w:rPr>
          <w:t xml:space="preserve">8、投标文件的语言及度量衡单位</w:t>
        </w:r>
        <w:r>
          <w:tab/>
        </w:r>
        <w:r>
          <w:fldChar w:fldCharType="begin"/>
        </w:r>
        <w:r>
          <w:instrText xml:space="preserve"> PAGEREF _Toc212623504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5" w:anchor="_Toc212623505" w:history="1">
        <w:r>
          <w:rPr>
            <w:rStyle w:val="770"/>
            <w:rFonts w:ascii="宋体" w:hAnsi="宋体" w:cs="Arial"/>
          </w:rPr>
          <w:t xml:space="preserve">9、投标文件构成</w:t>
        </w:r>
        <w:r>
          <w:tab/>
        </w:r>
        <w:r>
          <w:fldChar w:fldCharType="begin"/>
        </w:r>
        <w:r>
          <w:instrText xml:space="preserve"> PAGEREF _Toc212623505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6" w:anchor="_Toc212623506" w:history="1">
        <w:r>
          <w:rPr>
            <w:rStyle w:val="770"/>
            <w:rFonts w:ascii="宋体" w:hAnsi="宋体" w:cs="Arial"/>
          </w:rPr>
          <w:t xml:space="preserve">10、证明投标人及投标标的符合招标文件规定的文件</w:t>
        </w:r>
        <w:r>
          <w:tab/>
        </w:r>
        <w:r>
          <w:fldChar w:fldCharType="begin"/>
        </w:r>
        <w:r>
          <w:instrText xml:space="preserve"> PAGEREF _Toc212623506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7" w:anchor="_Toc212623507" w:history="1">
        <w:r>
          <w:rPr>
            <w:rStyle w:val="770"/>
            <w:rFonts w:ascii="宋体" w:hAnsi="宋体" w:cs="Arial"/>
          </w:rPr>
          <w:t xml:space="preserve">11、投标函和开标一览表</w:t>
        </w:r>
        <w:r>
          <w:tab/>
        </w:r>
        <w:r>
          <w:fldChar w:fldCharType="begin"/>
        </w:r>
        <w:r>
          <w:instrText xml:space="preserve"> PAGEREF _Toc212623507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8" w:anchor="_Toc212623508" w:history="1">
        <w:r>
          <w:rPr>
            <w:rStyle w:val="770"/>
            <w:rFonts w:ascii="宋体" w:hAnsi="宋体" w:cs="Arial"/>
          </w:rPr>
          <w:t xml:space="preserve">12、报价明细表（如有）</w:t>
        </w:r>
        <w:r>
          <w:tab/>
        </w:r>
        <w:r>
          <w:fldChar w:fldCharType="begin"/>
        </w:r>
        <w:r>
          <w:instrText xml:space="preserve"> PAGEREF _Toc212623508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9" w:anchor="_Toc212623509" w:history="1">
        <w:r>
          <w:rPr>
            <w:rStyle w:val="770"/>
            <w:rFonts w:ascii="宋体" w:hAnsi="宋体" w:cs="Arial"/>
          </w:rPr>
          <w:t xml:space="preserve">13、技术、服务、商务要求响应及偏离表（如有）</w:t>
        </w:r>
        <w:r>
          <w:tab/>
        </w:r>
        <w:r>
          <w:fldChar w:fldCharType="begin"/>
        </w:r>
        <w:r>
          <w:instrText xml:space="preserve"> PAGEREF _Toc212623509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0" w:anchor="_Toc212623510" w:history="1">
        <w:r>
          <w:rPr>
            <w:rStyle w:val="770"/>
            <w:rFonts w:ascii="宋体" w:hAnsi="宋体" w:cs="Arial"/>
          </w:rPr>
          <w:t xml:space="preserve">14、项目服务方案、项目组人员一览表、业绩情况（如有）</w:t>
        </w:r>
        <w:r>
          <w:tab/>
        </w:r>
        <w:r>
          <w:fldChar w:fldCharType="begin"/>
        </w:r>
        <w:r>
          <w:instrText xml:space="preserve"> PAGEREF _Toc212623510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1" w:anchor="_Toc212623511" w:history="1">
        <w:r>
          <w:rPr>
            <w:rStyle w:val="770"/>
            <w:rFonts w:ascii="宋体" w:hAnsi="宋体" w:cs="Arial"/>
          </w:rPr>
          <w:t xml:space="preserve">15、其他</w:t>
        </w:r>
        <w:r>
          <w:tab/>
        </w:r>
        <w:r>
          <w:fldChar w:fldCharType="begin"/>
        </w:r>
        <w:r>
          <w:instrText xml:space="preserve"> PAGEREF _Toc212623511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2" w:anchor="_Toc212623512" w:history="1">
        <w:r>
          <w:rPr>
            <w:rStyle w:val="770"/>
            <w:rFonts w:ascii="宋体" w:hAnsi="宋体" w:cs="Arial"/>
          </w:rPr>
          <w:t xml:space="preserve">16、投标有效期</w:t>
        </w:r>
        <w:r>
          <w:tab/>
        </w:r>
        <w:r>
          <w:fldChar w:fldCharType="begin"/>
        </w:r>
        <w:r>
          <w:instrText xml:space="preserve"> PAGEREF _Toc212623512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3" w:anchor="_Toc212623513" w:history="1">
        <w:r>
          <w:rPr>
            <w:rStyle w:val="770"/>
            <w:rFonts w:ascii="宋体" w:hAnsi="宋体" w:cs="Arial"/>
          </w:rPr>
          <w:t xml:space="preserve">17、投标有效期的延长</w:t>
        </w:r>
        <w:r>
          <w:tab/>
        </w:r>
        <w:r>
          <w:fldChar w:fldCharType="begin"/>
        </w:r>
        <w:r>
          <w:instrText xml:space="preserve"> PAGEREF _Toc212623513 \h </w:instrText>
        </w:r>
        <w:r/>
        <w:r>
          <w:fldChar w:fldCharType="separate"/>
        </w:r>
        <w:r>
          <w:t xml:space="preserve">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14" w:anchor="_Toc212623514" w:history="1">
        <w:r>
          <w:rPr>
            <w:rStyle w:val="770"/>
            <w:rFonts w:ascii="Times New Roman" w:hAnsi="Times New Roman"/>
          </w:rPr>
          <w:t xml:space="preserve">四、投标文件的递交</w:t>
        </w:r>
        <w:r>
          <w:tab/>
        </w:r>
        <w:r>
          <w:fldChar w:fldCharType="begin"/>
        </w:r>
        <w:r>
          <w:instrText xml:space="preserve"> PAGEREF _Toc212623514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5" w:anchor="_Toc212623515" w:history="1">
        <w:r>
          <w:rPr>
            <w:rStyle w:val="770"/>
            <w:rFonts w:ascii="宋体" w:hAnsi="宋体" w:cs="Arial"/>
          </w:rPr>
          <w:t xml:space="preserve">18、电子投标文件的递交</w:t>
        </w:r>
        <w:r>
          <w:tab/>
        </w:r>
        <w:r>
          <w:fldChar w:fldCharType="begin"/>
        </w:r>
        <w:r>
          <w:instrText xml:space="preserve"> PAGEREF _Toc212623515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6" w:anchor="_Toc212623516" w:history="1">
        <w:r>
          <w:rPr>
            <w:rStyle w:val="770"/>
            <w:rFonts w:ascii="宋体" w:hAnsi="宋体" w:cs="Arial"/>
          </w:rPr>
          <w:t xml:space="preserve">19、投标截止日期</w:t>
        </w:r>
        <w:r>
          <w:tab/>
        </w:r>
        <w:r>
          <w:fldChar w:fldCharType="begin"/>
        </w:r>
        <w:r>
          <w:instrText xml:space="preserve"> PAGEREF _Toc212623516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7" w:anchor="_Toc212623517" w:history="1">
        <w:r>
          <w:rPr>
            <w:rStyle w:val="770"/>
            <w:rFonts w:ascii="宋体" w:hAnsi="宋体" w:cs="Arial"/>
          </w:rPr>
          <w:t xml:space="preserve">20、投标文件的拒收</w:t>
        </w:r>
        <w:r>
          <w:tab/>
        </w:r>
        <w:r>
          <w:fldChar w:fldCharType="begin"/>
        </w:r>
        <w:r>
          <w:instrText xml:space="preserve"> PAGEREF _Toc212623517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8" w:anchor="_Toc212623518" w:history="1">
        <w:r>
          <w:rPr>
            <w:rStyle w:val="770"/>
            <w:rFonts w:ascii="宋体" w:hAnsi="宋体" w:cs="Arial"/>
          </w:rPr>
          <w:t xml:space="preserve">21、投标文件的撤回和修改</w:t>
        </w:r>
        <w:r>
          <w:tab/>
        </w:r>
        <w:r>
          <w:fldChar w:fldCharType="begin"/>
        </w:r>
        <w:r>
          <w:instrText xml:space="preserve"> PAGEREF _Toc212623518 \h </w:instrText>
        </w:r>
        <w:r/>
        <w:r>
          <w:fldChar w:fldCharType="separate"/>
        </w:r>
        <w:r>
          <w:t xml:space="preserve">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19" w:anchor="_Toc212623519" w:history="1">
        <w:r>
          <w:rPr>
            <w:rStyle w:val="770"/>
            <w:rFonts w:ascii="Times New Roman" w:hAnsi="Times New Roman"/>
          </w:rPr>
          <w:t xml:space="preserve">五、开标与评标</w:t>
        </w:r>
        <w:r>
          <w:tab/>
        </w:r>
        <w:r>
          <w:fldChar w:fldCharType="begin"/>
        </w:r>
        <w:r>
          <w:instrText xml:space="preserve"> PAGEREF _Toc212623519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0" w:anchor="_Toc212623520" w:history="1">
        <w:r>
          <w:rPr>
            <w:rStyle w:val="770"/>
            <w:rFonts w:ascii="宋体" w:hAnsi="宋体" w:cs="Arial"/>
          </w:rPr>
          <w:t xml:space="preserve">22、开标</w:t>
        </w:r>
        <w:r>
          <w:tab/>
        </w:r>
        <w:r>
          <w:fldChar w:fldCharType="begin"/>
        </w:r>
        <w:r>
          <w:instrText xml:space="preserve"> PAGEREF _Toc212623520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1" w:anchor="_Toc212623521" w:history="1">
        <w:r>
          <w:rPr>
            <w:rStyle w:val="770"/>
            <w:rFonts w:ascii="宋体" w:hAnsi="宋体" w:cs="Arial"/>
          </w:rPr>
          <w:t xml:space="preserve">23、评标委员会</w:t>
        </w:r>
        <w:r>
          <w:tab/>
        </w:r>
        <w:r>
          <w:fldChar w:fldCharType="begin"/>
        </w:r>
        <w:r>
          <w:instrText xml:space="preserve"> PAGEREF _Toc212623521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2" w:anchor="_Toc212623522" w:history="1">
        <w:r>
          <w:rPr>
            <w:rStyle w:val="770"/>
            <w:rFonts w:ascii="宋体" w:hAnsi="宋体" w:cs="Arial"/>
          </w:rPr>
          <w:t xml:space="preserve">24．评标过程的保密与公正</w:t>
        </w:r>
        <w:r>
          <w:tab/>
        </w:r>
        <w:r>
          <w:fldChar w:fldCharType="begin"/>
        </w:r>
        <w:r>
          <w:instrText xml:space="preserve"> PAGEREF _Toc212623522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3" w:anchor="_Toc212623523" w:history="1">
        <w:r>
          <w:rPr>
            <w:rStyle w:val="770"/>
            <w:rFonts w:ascii="宋体" w:hAnsi="宋体" w:cs="Arial"/>
          </w:rPr>
          <w:t xml:space="preserve">25．投标文件的澄清</w:t>
        </w:r>
        <w:r>
          <w:tab/>
        </w:r>
        <w:r>
          <w:fldChar w:fldCharType="begin"/>
        </w:r>
        <w:r>
          <w:instrText xml:space="preserve"> PAGEREF _Toc212623523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4" w:anchor="_Toc212623524" w:history="1">
        <w:r>
          <w:rPr>
            <w:rStyle w:val="770"/>
            <w:rFonts w:ascii="宋体" w:hAnsi="宋体" w:cs="Arial"/>
          </w:rPr>
          <w:t xml:space="preserve">26、对投标文件的初审</w:t>
        </w:r>
        <w:r>
          <w:tab/>
        </w:r>
        <w:r>
          <w:fldChar w:fldCharType="begin"/>
        </w:r>
        <w:r>
          <w:instrText xml:space="preserve"> PAGEREF _Toc212623524 \h </w:instrText>
        </w:r>
        <w:r/>
        <w:r>
          <w:fldChar w:fldCharType="separate"/>
        </w:r>
        <w:r>
          <w:t xml:space="preserve">11</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5" w:anchor="_Toc212623525" w:history="1">
        <w:r>
          <w:rPr>
            <w:rStyle w:val="770"/>
            <w:rFonts w:ascii="宋体" w:hAnsi="宋体" w:cs="Arial"/>
          </w:rPr>
          <w:t xml:space="preserve">27、无效投标条款和废标条款</w:t>
        </w:r>
        <w:r>
          <w:tab/>
        </w:r>
        <w:r>
          <w:fldChar w:fldCharType="begin"/>
        </w:r>
        <w:r>
          <w:instrText xml:space="preserve"> PAGEREF _Toc212623525 \h </w:instrText>
        </w:r>
        <w:r/>
        <w:r>
          <w:fldChar w:fldCharType="separate"/>
        </w:r>
        <w:r>
          <w:t xml:space="preserve">12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26" w:anchor="_Toc212623526" w:history="1">
        <w:r>
          <w:rPr>
            <w:rStyle w:val="770"/>
            <w:rFonts w:ascii="Times New Roman" w:hAnsi="Times New Roman"/>
          </w:rPr>
          <w:t xml:space="preserve">六、定标</w:t>
        </w:r>
        <w:r>
          <w:tab/>
        </w:r>
        <w:r>
          <w:fldChar w:fldCharType="begin"/>
        </w:r>
        <w:r>
          <w:instrText xml:space="preserve"> PAGEREF _Toc212623526 \h </w:instrText>
        </w:r>
        <w:r/>
        <w:r>
          <w:fldChar w:fldCharType="separate"/>
        </w:r>
        <w:r>
          <w:t xml:space="preserve">13</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7" w:anchor="_Toc212623527" w:history="1">
        <w:r>
          <w:rPr>
            <w:rStyle w:val="770"/>
            <w:rFonts w:ascii="宋体" w:hAnsi="宋体" w:cs="Arial"/>
          </w:rPr>
          <w:t xml:space="preserve">28、确定中标单位</w:t>
        </w:r>
        <w:r>
          <w:tab/>
        </w:r>
        <w:r>
          <w:fldChar w:fldCharType="begin"/>
        </w:r>
        <w:r>
          <w:instrText xml:space="preserve"> PAGEREF _Toc212623527 \h </w:instrText>
        </w:r>
        <w:r/>
        <w:r>
          <w:fldChar w:fldCharType="separate"/>
        </w:r>
        <w:r>
          <w:t xml:space="preserve">13</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8" w:anchor="_Toc212623528" w:history="1">
        <w:r>
          <w:rPr>
            <w:rStyle w:val="770"/>
            <w:rFonts w:ascii="宋体" w:hAnsi="宋体" w:cs="Arial"/>
          </w:rPr>
          <w:t xml:space="preserve">29、质疑处理</w:t>
        </w:r>
        <w:r>
          <w:tab/>
        </w:r>
        <w:r>
          <w:fldChar w:fldCharType="begin"/>
        </w:r>
        <w:r>
          <w:instrText xml:space="preserve"> PAGEREF _Toc212623528 \h </w:instrText>
        </w:r>
        <w:r/>
        <w:r>
          <w:fldChar w:fldCharType="separate"/>
        </w:r>
        <w:r>
          <w:t xml:space="preserve">14</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9" w:anchor="_Toc212623529" w:history="1">
        <w:r>
          <w:rPr>
            <w:rStyle w:val="770"/>
            <w:rFonts w:ascii="宋体" w:hAnsi="宋体" w:cs="Arial"/>
          </w:rPr>
          <w:t xml:space="preserve">30、中标通知书</w:t>
        </w:r>
        <w:r>
          <w:tab/>
        </w:r>
        <w:r>
          <w:fldChar w:fldCharType="begin"/>
        </w:r>
        <w:r>
          <w:instrText xml:space="preserve"> PAGEREF _Toc212623529 \h </w:instrText>
        </w:r>
        <w:r/>
        <w:r>
          <w:fldChar w:fldCharType="separate"/>
        </w:r>
        <w:r>
          <w:t xml:space="preserve">15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0" w:anchor="_Toc212623530" w:history="1">
        <w:r>
          <w:rPr>
            <w:rStyle w:val="770"/>
            <w:rFonts w:ascii="Times New Roman" w:hAnsi="Times New Roman"/>
          </w:rPr>
          <w:t xml:space="preserve">七、授予合同</w:t>
        </w:r>
        <w:r>
          <w:tab/>
        </w:r>
        <w:r>
          <w:fldChar w:fldCharType="begin"/>
        </w:r>
        <w:r>
          <w:instrText xml:space="preserve"> PAGEREF _Toc212623530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1" w:anchor="_Toc212623531" w:history="1">
        <w:r>
          <w:rPr>
            <w:rStyle w:val="770"/>
            <w:rFonts w:ascii="宋体" w:hAnsi="宋体" w:cs="Arial"/>
          </w:rPr>
          <w:t xml:space="preserve">31、签订合同</w:t>
        </w:r>
        <w:r>
          <w:tab/>
        </w:r>
        <w:r>
          <w:fldChar w:fldCharType="begin"/>
        </w:r>
        <w:r>
          <w:instrText xml:space="preserve"> PAGEREF _Toc212623531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2" w:anchor="_Toc212623532" w:history="1">
        <w:r>
          <w:rPr>
            <w:rStyle w:val="770"/>
            <w:rFonts w:ascii="宋体" w:hAnsi="宋体" w:cs="Arial"/>
          </w:rPr>
          <w:t xml:space="preserve">32、货物或服务的追加</w:t>
        </w:r>
        <w:r>
          <w:tab/>
        </w:r>
        <w:r>
          <w:fldChar w:fldCharType="begin"/>
        </w:r>
        <w:r>
          <w:instrText xml:space="preserve"> PAGEREF _Toc212623532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3" w:anchor="_Toc212623533" w:history="1">
        <w:r>
          <w:rPr>
            <w:rStyle w:val="770"/>
            <w:rFonts w:ascii="宋体" w:hAnsi="宋体" w:cs="Arial"/>
          </w:rPr>
          <w:t xml:space="preserve">33、政府采购信用融资政策</w:t>
        </w:r>
        <w:r>
          <w:tab/>
        </w:r>
        <w:r>
          <w:fldChar w:fldCharType="begin"/>
        </w:r>
        <w:r>
          <w:instrText xml:space="preserve"> PAGEREF _Toc212623533 \h </w:instrText>
        </w:r>
        <w:r/>
        <w:r>
          <w:fldChar w:fldCharType="separate"/>
        </w:r>
        <w:r>
          <w:t xml:space="preserve">16</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34" w:anchor="_Toc212623534" w:history="1">
        <w:r>
          <w:rPr>
            <w:rStyle w:val="770"/>
            <w:rFonts w:ascii="宋体" w:hAnsi="宋体"/>
          </w:rPr>
          <w:t xml:space="preserve">第三章  合同文本</w:t>
        </w:r>
        <w:r>
          <w:tab/>
        </w:r>
        <w:r>
          <w:fldChar w:fldCharType="begin"/>
        </w:r>
        <w:r>
          <w:instrText xml:space="preserve"> PAGEREF _Toc212623534 \h </w:instrText>
        </w:r>
        <w:r/>
        <w:r>
          <w:fldChar w:fldCharType="separate"/>
        </w:r>
        <w:r>
          <w:t xml:space="preserve">17</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35" w:anchor="_Toc212623535" w:history="1">
        <w:r>
          <w:rPr>
            <w:rStyle w:val="770"/>
            <w:rFonts w:ascii="宋体" w:hAnsi="宋体"/>
          </w:rPr>
          <w:t xml:space="preserve">第四章  采购需求</w:t>
        </w:r>
        <w:r>
          <w:tab/>
        </w:r>
        <w:r>
          <w:fldChar w:fldCharType="begin"/>
        </w:r>
        <w:r>
          <w:instrText xml:space="preserve"> PAGEREF _Toc212623535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6" w:anchor="_Toc212623536" w:history="1">
        <w:r>
          <w:rPr>
            <w:rStyle w:val="770"/>
            <w:rFonts w:ascii="Times New Roman" w:hAnsi="Times New Roman"/>
          </w:rPr>
          <w:t xml:space="preserve">一、项目说明</w:t>
        </w:r>
        <w:r>
          <w:tab/>
        </w:r>
        <w:r>
          <w:fldChar w:fldCharType="begin"/>
        </w:r>
        <w:r>
          <w:instrText xml:space="preserve"> PAGEREF _Toc212623536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7" w:anchor="_Toc212623537" w:history="1">
        <w:r>
          <w:rPr>
            <w:rStyle w:val="770"/>
            <w:rFonts w:ascii="Times New Roman" w:hAnsi="Times New Roman"/>
          </w:rPr>
          <w:t xml:space="preserve">二、项目服务清单</w:t>
        </w:r>
        <w:r>
          <w:tab/>
        </w:r>
        <w:r>
          <w:fldChar w:fldCharType="begin"/>
        </w:r>
        <w:r>
          <w:instrText xml:space="preserve"> PAGEREF _Toc212623537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8" w:anchor="_Toc212623538" w:history="1">
        <w:r>
          <w:rPr>
            <w:rStyle w:val="770"/>
            <w:rFonts w:ascii="Times New Roman" w:hAnsi="Times New Roman"/>
          </w:rPr>
          <w:t xml:space="preserve">三、项目服务要求：</w:t>
        </w:r>
        <w:r>
          <w:tab/>
        </w:r>
        <w:r>
          <w:fldChar w:fldCharType="begin"/>
        </w:r>
        <w:r>
          <w:instrText xml:space="preserve"> PAGEREF _Toc212623538 \h </w:instrText>
        </w:r>
        <w:r/>
        <w:r>
          <w:fldChar w:fldCharType="separate"/>
        </w:r>
        <w:r>
          <w:t xml:space="preserve">24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9" w:anchor="_Toc212623539" w:history="1">
        <w:r>
          <w:rPr>
            <w:rStyle w:val="770"/>
            <w:rFonts w:ascii="Times New Roman" w:hAnsi="Times New Roman"/>
          </w:rPr>
          <w:t xml:space="preserve">四、运维考核办法：</w:t>
        </w:r>
        <w:r>
          <w:tab/>
        </w:r>
        <w:r>
          <w:fldChar w:fldCharType="begin"/>
        </w:r>
        <w:r>
          <w:instrText xml:space="preserve"> PAGEREF _Toc212623539 \h </w:instrText>
        </w:r>
        <w:r/>
        <w:r>
          <w:fldChar w:fldCharType="separate"/>
        </w:r>
        <w:r>
          <w:t xml:space="preserve">34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0" w:anchor="_Toc212623540" w:history="1">
        <w:r>
          <w:rPr>
            <w:rStyle w:val="770"/>
            <w:rFonts w:ascii="Times New Roman" w:hAnsi="Times New Roman"/>
          </w:rPr>
          <w:t xml:space="preserve">五、报价要求</w:t>
        </w:r>
        <w:r>
          <w:tab/>
        </w:r>
        <w:r>
          <w:fldChar w:fldCharType="begin"/>
        </w:r>
        <w:r>
          <w:instrText xml:space="preserve"> PAGEREF _Toc212623540 \h </w:instrText>
        </w:r>
        <w:r/>
        <w:r>
          <w:fldChar w:fldCharType="separate"/>
        </w:r>
        <w:r>
          <w:t xml:space="preserve">35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1" w:anchor="_Toc212623541" w:history="1">
        <w:r>
          <w:rPr>
            <w:rStyle w:val="770"/>
            <w:rFonts w:ascii="Times New Roman" w:hAnsi="Times New Roman"/>
          </w:rPr>
          <w:t xml:space="preserve">六、实质性要求</w:t>
        </w:r>
        <w:r>
          <w:tab/>
        </w:r>
        <w:r>
          <w:fldChar w:fldCharType="begin"/>
        </w:r>
        <w:r>
          <w:instrText xml:space="preserve"> PAGEREF _Toc212623541 \h </w:instrText>
        </w:r>
        <w:r/>
        <w:r>
          <w:fldChar w:fldCharType="separate"/>
        </w:r>
        <w:r>
          <w:t xml:space="preserve">36</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42" w:anchor="_Toc212623542" w:history="1">
        <w:r>
          <w:rPr>
            <w:rStyle w:val="770"/>
            <w:rFonts w:ascii="宋体" w:hAnsi="宋体"/>
          </w:rPr>
          <w:t xml:space="preserve">第五章  评标方法与评标标准</w:t>
        </w:r>
        <w:r>
          <w:tab/>
        </w:r>
        <w:r>
          <w:fldChar w:fldCharType="begin"/>
        </w:r>
        <w:r>
          <w:instrText xml:space="preserve"> PAGEREF _Toc212623542 \h </w:instrText>
        </w:r>
        <w:r/>
        <w:r>
          <w:fldChar w:fldCharType="separate"/>
        </w:r>
        <w:r>
          <w:t xml:space="preserve">37</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43" w:anchor="_Toc212623543" w:history="1">
        <w:r>
          <w:rPr>
            <w:rStyle w:val="770"/>
            <w:rFonts w:ascii="宋体" w:hAnsi="宋体"/>
          </w:rPr>
          <w:t xml:space="preserve">第六章  投标文件格式</w:t>
        </w:r>
        <w:r>
          <w:tab/>
        </w:r>
        <w:r>
          <w:fldChar w:fldCharType="begin"/>
        </w:r>
        <w:r>
          <w:instrText xml:space="preserve"> PAGEREF _Toc212623543 \h </w:instrText>
        </w:r>
        <w:r/>
        <w:r>
          <w:fldChar w:fldCharType="separate"/>
        </w:r>
        <w:r>
          <w:t xml:space="preserve">42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4" w:anchor="_Toc212623544" w:history="1">
        <w:r>
          <w:rPr>
            <w:rStyle w:val="770"/>
            <w:rFonts w:ascii="Times New Roman" w:hAnsi="Times New Roman"/>
          </w:rPr>
          <w:t xml:space="preserve">投标文件目录</w:t>
        </w:r>
        <w:r>
          <w:tab/>
        </w:r>
        <w:r>
          <w:fldChar w:fldCharType="begin"/>
        </w:r>
        <w:r>
          <w:instrText xml:space="preserve"> PAGEREF _Toc212623544 \h </w:instrText>
        </w:r>
        <w:r/>
        <w:r>
          <w:fldChar w:fldCharType="separate"/>
        </w:r>
        <w:r>
          <w:t xml:space="preserve">43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5" w:anchor="_Toc212623545" w:history="1">
        <w:r>
          <w:rPr>
            <w:rStyle w:val="770"/>
            <w:rFonts w:ascii="宋体" w:hAnsi="宋体"/>
          </w:rPr>
          <w:t xml:space="preserve">附件1 开标一览表</w:t>
        </w:r>
        <w:r>
          <w:tab/>
        </w:r>
        <w:r>
          <w:fldChar w:fldCharType="begin"/>
        </w:r>
        <w:r>
          <w:instrText xml:space="preserve"> PAGEREF _Toc212623545 \h </w:instrText>
        </w:r>
        <w:r/>
        <w:r>
          <w:fldChar w:fldCharType="separate"/>
        </w:r>
        <w:r>
          <w:t xml:space="preserve">45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6" w:anchor="_Toc212623546" w:history="1">
        <w:r>
          <w:rPr>
            <w:rStyle w:val="770"/>
            <w:rFonts w:ascii="宋体" w:hAnsi="宋体"/>
          </w:rPr>
          <w:t xml:space="preserve">附件2 具有履行合同所必需的设备和专业技术能力的声明函</w:t>
        </w:r>
        <w:r>
          <w:tab/>
        </w:r>
        <w:r>
          <w:fldChar w:fldCharType="begin"/>
        </w:r>
        <w:r>
          <w:instrText xml:space="preserve"> PAGEREF _Toc212623546 \h </w:instrText>
        </w:r>
        <w:r/>
        <w:r>
          <w:fldChar w:fldCharType="separate"/>
        </w:r>
        <w:r>
          <w:t xml:space="preserve">46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7" w:anchor="_Toc212623547" w:history="1">
        <w:r>
          <w:rPr>
            <w:rStyle w:val="770"/>
            <w:rFonts w:ascii="宋体" w:hAnsi="宋体"/>
          </w:rPr>
          <w:t xml:space="preserve">附件3 承诺说明</w:t>
        </w:r>
        <w:r>
          <w:tab/>
        </w:r>
        <w:r>
          <w:fldChar w:fldCharType="begin"/>
        </w:r>
        <w:r>
          <w:instrText xml:space="preserve"> PAGEREF _Toc212623547 \h </w:instrText>
        </w:r>
        <w:r/>
        <w:r>
          <w:fldChar w:fldCharType="separate"/>
        </w:r>
        <w:r>
          <w:t xml:space="preserve">47</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8" w:anchor="_Toc212623548" w:history="1">
        <w:r>
          <w:rPr>
            <w:rStyle w:val="770"/>
            <w:rFonts w:ascii="宋体" w:hAnsi="宋体"/>
          </w:rPr>
          <w:t xml:space="preserve">附件4 中小企业声明函</w:t>
        </w:r>
        <w:r>
          <w:tab/>
        </w:r>
        <w:r>
          <w:fldChar w:fldCharType="begin"/>
        </w:r>
        <w:r>
          <w:instrText xml:space="preserve"> PAGEREF _Toc212623548 \h </w:instrText>
        </w:r>
        <w:r/>
        <w:r>
          <w:fldChar w:fldCharType="separate"/>
        </w:r>
        <w:r>
          <w:t xml:space="preserve">48</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9" w:anchor="_Toc212623549" w:history="1">
        <w:r>
          <w:rPr>
            <w:rStyle w:val="770"/>
            <w:rFonts w:ascii="宋体" w:hAnsi="宋体"/>
          </w:rPr>
          <w:t xml:space="preserve">附件5 残疾人福利性单位声明函</w:t>
        </w:r>
        <w:r>
          <w:tab/>
        </w:r>
        <w:r>
          <w:fldChar w:fldCharType="begin"/>
        </w:r>
        <w:r>
          <w:instrText xml:space="preserve"> PAGEREF _Toc212623549 \h </w:instrText>
        </w:r>
        <w:r/>
        <w:r>
          <w:fldChar w:fldCharType="separate"/>
        </w:r>
        <w:r>
          <w:t xml:space="preserve">49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0" w:anchor="_Toc212623550" w:history="1">
        <w:r>
          <w:rPr>
            <w:rStyle w:val="770"/>
            <w:rFonts w:ascii="宋体" w:hAnsi="宋体"/>
          </w:rPr>
          <w:t xml:space="preserve">附件6 投标函</w:t>
        </w:r>
        <w:r>
          <w:tab/>
        </w:r>
        <w:r>
          <w:fldChar w:fldCharType="begin"/>
        </w:r>
        <w:r>
          <w:instrText xml:space="preserve"> PAGEREF _Toc212623550 \h </w:instrText>
        </w:r>
        <w:r/>
        <w:r>
          <w:fldChar w:fldCharType="separate"/>
        </w:r>
        <w:r>
          <w:t xml:space="preserve">50</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1" w:anchor="_Toc212623551" w:history="1">
        <w:r>
          <w:rPr>
            <w:rStyle w:val="770"/>
            <w:rFonts w:ascii="宋体" w:hAnsi="宋体"/>
          </w:rPr>
          <w:t xml:space="preserve">附件7 法人授权书</w:t>
        </w:r>
        <w:r>
          <w:tab/>
        </w:r>
        <w:r>
          <w:fldChar w:fldCharType="begin"/>
        </w:r>
        <w:r>
          <w:instrText xml:space="preserve"> PAGEREF _Toc212623551 \h </w:instrText>
        </w:r>
        <w:r/>
        <w:r>
          <w:fldChar w:fldCharType="separate"/>
        </w:r>
        <w:r>
          <w:t xml:space="preserve">51</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2" w:anchor="_Toc212623552" w:history="1">
        <w:r>
          <w:rPr>
            <w:rStyle w:val="770"/>
            <w:rFonts w:ascii="宋体" w:hAnsi="宋体"/>
          </w:rPr>
          <w:t xml:space="preserve">附件8 实质性要求响应表</w:t>
        </w:r>
        <w:r>
          <w:tab/>
        </w:r>
        <w:r>
          <w:fldChar w:fldCharType="begin"/>
        </w:r>
        <w:r>
          <w:instrText xml:space="preserve"> PAGEREF _Toc212623552 \h </w:instrText>
        </w:r>
        <w:r/>
        <w:r>
          <w:fldChar w:fldCharType="separate"/>
        </w:r>
        <w:r>
          <w:t xml:space="preserve">52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3" w:anchor="_Toc212623553" w:history="1">
        <w:r>
          <w:rPr>
            <w:rStyle w:val="770"/>
            <w:rFonts w:ascii="宋体" w:hAnsi="宋体"/>
          </w:rPr>
          <w:t xml:space="preserve">附件9 报价明细表</w:t>
        </w:r>
        <w:r>
          <w:tab/>
        </w:r>
        <w:r>
          <w:fldChar w:fldCharType="begin"/>
        </w:r>
        <w:r>
          <w:instrText xml:space="preserve"> PAGEREF _Toc212623553 \h </w:instrText>
        </w:r>
        <w:r/>
        <w:r>
          <w:fldChar w:fldCharType="separate"/>
        </w:r>
        <w:r>
          <w:t xml:space="preserve">53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4" w:anchor="_Toc212623554" w:history="1">
        <w:r>
          <w:rPr>
            <w:rStyle w:val="770"/>
            <w:rFonts w:ascii="宋体" w:hAnsi="宋体"/>
          </w:rPr>
          <w:t xml:space="preserve">附件10 服务要求响应及偏离表</w:t>
        </w:r>
        <w:r>
          <w:tab/>
        </w:r>
        <w:r>
          <w:fldChar w:fldCharType="begin"/>
        </w:r>
        <w:r>
          <w:instrText xml:space="preserve"> PAGEREF _Toc212623554 \h </w:instrText>
        </w:r>
        <w:r/>
        <w:r>
          <w:fldChar w:fldCharType="separate"/>
        </w:r>
        <w:r>
          <w:t xml:space="preserve">54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5" w:anchor="_Toc212623555" w:history="1">
        <w:r>
          <w:rPr>
            <w:rStyle w:val="770"/>
            <w:rFonts w:ascii="宋体" w:hAnsi="宋体"/>
          </w:rPr>
          <w:t xml:space="preserve">附件11 项目方案、人员、设备配备</w:t>
        </w:r>
        <w:r>
          <w:tab/>
        </w:r>
        <w:r>
          <w:fldChar w:fldCharType="begin"/>
        </w:r>
        <w:r>
          <w:instrText xml:space="preserve"> PAGEREF _Toc212623555 \h </w:instrText>
        </w:r>
        <w:r/>
        <w:r>
          <w:fldChar w:fldCharType="separate"/>
        </w:r>
        <w:r>
          <w:t xml:space="preserve">55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6" w:anchor="_Toc212623556" w:history="1">
        <w:r>
          <w:rPr>
            <w:rStyle w:val="770"/>
            <w:rFonts w:ascii="宋体" w:hAnsi="宋体"/>
          </w:rPr>
          <w:t xml:space="preserve">附件12 商务要求响应及偏离表</w:t>
        </w:r>
        <w:r>
          <w:tab/>
        </w:r>
        <w:r>
          <w:fldChar w:fldCharType="begin"/>
        </w:r>
        <w:r>
          <w:instrText xml:space="preserve"> PAGEREF _Toc212623556 \h </w:instrText>
        </w:r>
        <w:r/>
        <w:r>
          <w:fldChar w:fldCharType="separate"/>
        </w:r>
        <w:r>
          <w:t xml:space="preserve">56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7" w:anchor="_Toc212623557" w:history="1">
        <w:r>
          <w:rPr>
            <w:rStyle w:val="770"/>
            <w:rFonts w:ascii="宋体" w:hAnsi="宋体"/>
          </w:rPr>
          <w:t xml:space="preserve">附件13 业绩一览表</w:t>
        </w:r>
        <w:r>
          <w:tab/>
        </w:r>
        <w:r>
          <w:fldChar w:fldCharType="begin"/>
        </w:r>
        <w:r>
          <w:instrText xml:space="preserve"> PAGEREF _Toc212623557 \h </w:instrText>
        </w:r>
        <w:r/>
        <w:r>
          <w:fldChar w:fldCharType="separate"/>
        </w:r>
        <w:r>
          <w:t xml:space="preserve">57</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340"/>
      <w:r/>
      <w:bookmarkStart w:id="8" w:name="_Toc163508265"/>
      <w:r/>
      <w:bookmarkStart w:id="9" w:name="_Toc212623485"/>
      <w:r>
        <w:rPr>
          <w:rFonts w:hint="eastAsia" w:ascii="宋体" w:hAnsi="宋体" w:eastAsia="宋体" w:cs="Times New Roman"/>
          <w:b/>
          <w:color w:val="000000"/>
          <w:sz w:val="44"/>
          <w:szCs w:val="44"/>
        </w:rPr>
        <w:t xml:space="preserve">第一章  </w:t>
      </w:r>
      <w:bookmarkEnd w:id="1"/>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经开区大气自动监测设备运维服务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22</w:t>
      </w:r>
      <w:r>
        <w:rPr>
          <w:rFonts w:ascii="Times New Roman" w:hAnsi="Times New Roman" w:eastAsia="宋体" w:cs="Times New Roman"/>
          <w:sz w:val="24"/>
          <w:szCs w:val="21"/>
          <w:u w:val="single"/>
        </w:rPr>
        <w:t xml:space="preserve">日</w:t>
      </w:r>
      <w:r>
        <w:rPr>
          <w:rFonts w:ascii="Times New Roman" w:hAnsi="Times New Roman" w:eastAsia="宋体" w:cs="Times New Roman"/>
          <w:sz w:val="24"/>
          <w:szCs w:val="21"/>
          <w:u w:val="single"/>
        </w:rPr>
        <w:t xml:space="preserve">1</w:t>
      </w:r>
      <w:r>
        <w:rPr>
          <w:rFonts w:hint="eastAsia" w:ascii="Times New Roman" w:hAnsi="Times New Roman" w:eastAsia="宋体" w:cs="Times New Roman"/>
          <w:sz w:val="24"/>
          <w:szCs w:val="21"/>
          <w:u w:val="single"/>
        </w:rPr>
        <w:t xml:space="preserve">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rPr>
          <w:rFonts w:hint="eastAsia" w:ascii="Times New Roman" w:hAnsi="Times New Roman" w:eastAsia="宋体" w:cs="Times New Roman"/>
          <w:sz w:val="24"/>
          <w:szCs w:val="21"/>
          <w:u w:val="single"/>
        </w:rPr>
        <w:t xml:space="preserve">（北京时间）</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38985263"/>
      <w:r/>
      <w:bookmarkStart w:id="11" w:name="_Toc35393790"/>
      <w:r/>
      <w:bookmarkStart w:id="12" w:name="_Toc163508341"/>
      <w:r/>
      <w:bookmarkStart w:id="13" w:name="_Toc28359002"/>
      <w:r/>
      <w:bookmarkStart w:id="14" w:name="_Toc28359079"/>
      <w:r/>
      <w:bookmarkStart w:id="15" w:name="_Toc35393621"/>
      <w:r/>
      <w:bookmarkStart w:id="16" w:name="_Toc163508266"/>
      <w:r/>
      <w:bookmarkStart w:id="17" w:name="_Toc212623486"/>
      <w:r/>
      <w:bookmarkStart w:id="18" w:name="_Hlk24379207"/>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JSZC-320581-SZJZ-G2025-0074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经开区大气自动监测设备运维服务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8"/>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370.00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常熟经济技术开发区管理委员会所需的</w:t>
      </w:r>
      <w:r>
        <w:rPr>
          <w:rFonts w:hint="eastAsia" w:ascii="Calibri" w:hAnsi="Calibri" w:eastAsia="宋体" w:cs="Times New Roman"/>
          <w:sz w:val="24"/>
          <w:szCs w:val="24"/>
        </w:rPr>
        <w:t xml:space="preserve">经开区大气自动监测设备运维服务</w:t>
      </w:r>
      <w:r>
        <w:rPr>
          <w:rFonts w:hint="eastAsia" w:ascii="Calibri" w:hAnsi="Calibri" w:eastAsia="宋体" w:cs="Times New Roman"/>
          <w:sz w:val="24"/>
          <w:szCs w:val="24"/>
        </w:rPr>
        <w:t xml:space="preserve">。</w:t>
      </w:r>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rPr>
        <w:t xml:space="preserve">自合同签订之日起至</w:t>
      </w:r>
      <w:r>
        <w:rPr>
          <w:rFonts w:ascii="宋体" w:hAnsi="宋体" w:eastAsia="宋体" w:cs="Times New Roman"/>
          <w:color w:val="000000"/>
          <w:sz w:val="24"/>
          <w:szCs w:val="24"/>
        </w:rPr>
        <w:t xml:space="preserve">2028年4月14日</w:t>
      </w:r>
      <w:r>
        <w:rPr>
          <w:rFonts w:hint="eastAsia" w:ascii="宋体" w:hAnsi="宋体"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212623487"/>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12623488"/>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12623489"/>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2025</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212623490"/>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12623491"/>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212623492"/>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hint="eastAsia" w:ascii="宋体" w:hAnsi="宋体" w:eastAsia="宋体" w:cs="Times New Roman"/>
          <w:color w:val="000000"/>
          <w:sz w:val="24"/>
          <w:szCs w:val="24"/>
        </w:rPr>
        <w:t xml:space="preserve">0</w:t>
      </w:r>
      <w:r>
        <w:rPr>
          <w:rFonts w:ascii="宋体" w:hAnsi="宋体" w:eastAsia="宋体" w:cs="Times New Roman"/>
          <w:color w:val="000000"/>
          <w:sz w:val="24"/>
          <w:szCs w:val="24"/>
        </w:rPr>
        <w:t xml:space="preserve">512-52959171</w:t>
      </w:r>
      <w:r>
        <w:rPr>
          <w:rFonts w:hint="eastAsia" w:ascii="宋体" w:hAnsi="宋体" w:eastAsia="宋体" w:cs="Times New Roman"/>
          <w:color w:val="000000"/>
          <w:sz w:val="24"/>
          <w:szCs w:val="24"/>
        </w:rPr>
        <w:t xml:space="preserve">（俞冰）</w:t>
      </w:r>
      <w:bookmarkEnd w:id="66"/>
      <w:bookmarkEnd w:id="67"/>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（季越盛、俞静）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项目联系人：季越盛、俞静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12623493"/>
      <w:r>
        <w:rPr>
          <w:rFonts w:hint="eastAsia" w:ascii="宋体" w:hAnsi="宋体" w:eastAsia="宋体" w:cs="Times New Roman"/>
          <w:b/>
          <w:color w:val="000000"/>
          <w:sz w:val="44"/>
          <w:szCs w:val="44"/>
        </w:rPr>
        <w:t xml:space="preserve">第二章  </w:t>
      </w:r>
      <w:bookmarkStart w:id="74" w:name="_Toc513029202"/>
      <w:r/>
      <w:bookmarkStart w:id="75" w:name="_Toc120614213"/>
      <w:r/>
      <w:bookmarkStart w:id="76" w:name="_Toc20823274"/>
      <w:r/>
      <w:bookmarkStart w:id="77" w:name="_Toc16938518"/>
      <w:r/>
      <w:bookmarkEnd w:id="2"/>
      <w:r/>
      <w:bookmarkEnd w:id="3"/>
      <w:r/>
      <w:bookmarkEnd w:id="4"/>
      <w:r/>
      <w:bookmarkEnd w:id="5"/>
      <w:r/>
      <w:bookmarkEnd w:id="6"/>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212623494"/>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12623495"/>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12623496"/>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12623497"/>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212623498"/>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600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212623499"/>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212623500"/>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212623501"/>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12623502"/>
      <w:r/>
      <w:bookmarkStart w:id="128" w:name="_Toc20823283"/>
      <w:r/>
      <w:bookmarkStart w:id="129" w:name="_Toc16938527"/>
      <w:r/>
      <w:bookmarkStart w:id="130" w:name="_Toc513029211"/>
      <w:r/>
      <w:bookmarkStart w:id="131"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212623503"/>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212623504"/>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21262350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212623506"/>
      <w:r/>
      <w:bookmarkStart w:id="163" w:name="_Toc49090507"/>
      <w:r/>
      <w:bookmarkStart w:id="164" w:name="_Toc513029216"/>
      <w:r/>
      <w:bookmarkStart w:id="165" w:name="_Toc14577354"/>
      <w:r/>
      <w:bookmarkStart w:id="166" w:name="_Toc14577355"/>
      <w:r/>
      <w:bookmarkStart w:id="167" w:name="_Toc49090508"/>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bookmarkEnd w:id="164"/>
      <w:bookmarkEnd w:id="165"/>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12623507"/>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12623508"/>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954848"/>
      <w:r/>
      <w:bookmarkStart w:id="175" w:name="_Hlt26954846"/>
      <w:r/>
      <w:bookmarkStart w:id="176" w:name="_Hlt26670486"/>
      <w:r/>
      <w:bookmarkStart w:id="177" w:name="_Hlt26670482"/>
      <w:r/>
      <w:bookmarkStart w:id="178" w:name="_Hlt26954731"/>
      <w:r/>
      <w:bookmarkStart w:id="179" w:name="_Toc163508364"/>
      <w:r/>
      <w:bookmarkStart w:id="180" w:name="_Toc163508289"/>
      <w:r/>
      <w:bookmarkStart w:id="181" w:name="_Toc212623509"/>
      <w:r/>
      <w:bookmarkStart w:id="182" w:name="_Hlk155763835"/>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2"/>
      <w:r/>
      <w:r/>
    </w:p>
    <w:p>
      <w:pPr>
        <w:ind w:firstLine="420"/>
        <w:rPr>
          <w:rFonts w:ascii="宋体" w:hAnsi="宋体" w:eastAsia="宋体" w:cs="Arial"/>
          <w:color w:val="000000"/>
          <w:sz w:val="28"/>
          <w:szCs w:val="28"/>
        </w:rPr>
        <w:outlineLvl w:val="2"/>
      </w:pPr>
      <w:r/>
      <w:bookmarkStart w:id="183" w:name="_Toc163508290"/>
      <w:r/>
      <w:bookmarkStart w:id="184" w:name="_Toc163508365"/>
      <w:r/>
      <w:bookmarkStart w:id="185" w:name="_Toc212623510"/>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366"/>
      <w:r/>
      <w:bookmarkStart w:id="189" w:name="_Toc163508291"/>
      <w:r/>
      <w:bookmarkStart w:id="190" w:name="_Toc212623511"/>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163508292"/>
      <w:r/>
      <w:bookmarkStart w:id="193" w:name="_Toc49090511"/>
      <w:r/>
      <w:bookmarkStart w:id="194" w:name="_Toc163508367"/>
      <w:r/>
      <w:bookmarkStart w:id="195" w:name="_Toc212623512"/>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368"/>
      <w:r/>
      <w:bookmarkStart w:id="197" w:name="_Toc163508293"/>
      <w:r/>
      <w:bookmarkStart w:id="198" w:name="_Toc212623513"/>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513029224"/>
      <w:r/>
      <w:bookmarkStart w:id="202" w:name="_Toc16938540"/>
      <w:r/>
      <w:bookmarkStart w:id="203" w:name="_Toc20823296"/>
      <w:r/>
      <w:bookmarkStart w:id="204" w:name="_Toc120614217"/>
      <w:r/>
      <w:bookmarkStart w:id="205" w:name="_Toc163508369"/>
      <w:r/>
      <w:bookmarkStart w:id="206" w:name="_Toc163508294"/>
      <w:r/>
      <w:bookmarkStart w:id="207" w:name="_Toc212623514"/>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20823297"/>
      <w:r/>
      <w:bookmarkStart w:id="209" w:name="_Toc16938541"/>
      <w:r/>
      <w:bookmarkStart w:id="210" w:name="_Toc462564084"/>
      <w:r/>
      <w:bookmarkStart w:id="211" w:name="_Toc513029225"/>
      <w:r/>
      <w:bookmarkStart w:id="212" w:name="_Toc163508295"/>
      <w:r/>
      <w:bookmarkStart w:id="213" w:name="_Toc163508370"/>
      <w:r/>
      <w:bookmarkStart w:id="214" w:name="_Toc212623515"/>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16938542"/>
      <w:r/>
      <w:bookmarkStart w:id="216" w:name="_Toc20823298"/>
      <w:r/>
      <w:bookmarkStart w:id="217" w:name="_Toc513029226"/>
      <w:r/>
      <w:r/>
    </w:p>
    <w:p>
      <w:pPr>
        <w:ind w:firstLine="420"/>
        <w:rPr>
          <w:rFonts w:ascii="宋体" w:hAnsi="宋体" w:eastAsia="宋体" w:cs="Arial"/>
          <w:color w:val="000000"/>
          <w:sz w:val="28"/>
          <w:szCs w:val="28"/>
        </w:rPr>
        <w:outlineLvl w:val="2"/>
      </w:pPr>
      <w:r/>
      <w:bookmarkStart w:id="218" w:name="_Toc163508371"/>
      <w:r/>
      <w:bookmarkStart w:id="219" w:name="_Toc163508296"/>
      <w:r/>
      <w:bookmarkStart w:id="220" w:name="_Toc21262351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20823299"/>
      <w:r/>
      <w:bookmarkStart w:id="222" w:name="_Toc16938543"/>
      <w:r/>
      <w:bookmarkStart w:id="223" w:name="_Toc513029227"/>
      <w:r/>
      <w:bookmarkStart w:id="224" w:name="_Toc163508297"/>
      <w:r/>
      <w:bookmarkStart w:id="225" w:name="_Toc163508372"/>
      <w:r/>
      <w:bookmarkStart w:id="226" w:name="_Toc212623517"/>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163508298"/>
      <w:r/>
      <w:bookmarkStart w:id="228" w:name="_Toc20823300"/>
      <w:r/>
      <w:bookmarkStart w:id="229" w:name="_Toc513029228"/>
      <w:r/>
      <w:bookmarkStart w:id="230" w:name="_Toc163508373"/>
      <w:r/>
      <w:bookmarkStart w:id="231" w:name="_Toc16938544"/>
      <w:r/>
      <w:bookmarkStart w:id="232" w:name="_Toc212623518"/>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63508299"/>
      <w:r/>
      <w:bookmarkStart w:id="234" w:name="_Toc163508374"/>
      <w:r/>
      <w:bookmarkStart w:id="235" w:name="_Toc20823301"/>
      <w:r/>
      <w:bookmarkStart w:id="236" w:name="_Toc513029229"/>
      <w:r/>
      <w:bookmarkStart w:id="237" w:name="_Toc120614218"/>
      <w:r/>
      <w:bookmarkStart w:id="238" w:name="_Toc16938545"/>
      <w:r/>
      <w:bookmarkStart w:id="239" w:name="_Toc212623519"/>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3508375"/>
      <w:r/>
      <w:bookmarkStart w:id="241" w:name="_Toc163508300"/>
      <w:r/>
      <w:bookmarkStart w:id="242" w:name="_Toc20823302"/>
      <w:r/>
      <w:bookmarkStart w:id="243" w:name="_Toc16938546"/>
      <w:r/>
      <w:bookmarkStart w:id="244" w:name="_Toc513029230"/>
      <w:r/>
      <w:bookmarkStart w:id="245" w:name="_Toc21262352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212623521"/>
      <w:r/>
      <w:bookmarkStart w:id="249" w:name="_Toc513029231"/>
      <w:r/>
      <w:bookmarkStart w:id="250" w:name="_Toc16938547"/>
      <w:r/>
      <w:bookmarkStart w:id="251"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48"/>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21262352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9"/>
      <w:bookmarkEnd w:id="250"/>
      <w:bookmarkEnd w:id="251"/>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938548"/>
      <w:r/>
      <w:bookmarkStart w:id="256" w:name="_Toc20823304"/>
      <w:r/>
      <w:bookmarkStart w:id="257" w:name="_Toc163508303"/>
      <w:r/>
      <w:bookmarkStart w:id="258" w:name="_Toc163508378"/>
      <w:r/>
      <w:bookmarkStart w:id="259" w:name="_Toc513029232"/>
      <w:r/>
      <w:bookmarkStart w:id="260" w:name="_Toc21262352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20823305"/>
      <w:r/>
      <w:bookmarkStart w:id="262" w:name="_Toc16938549"/>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04"/>
      <w:r/>
      <w:bookmarkStart w:id="265" w:name="_Toc163508379"/>
      <w:r/>
      <w:bookmarkStart w:id="266" w:name="_Toc2126235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20823306"/>
      <w:r/>
      <w:bookmarkStart w:id="268" w:name="_Toc16938550"/>
      <w:r/>
      <w:bookmarkStart w:id="269"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05"/>
      <w:r/>
      <w:bookmarkStart w:id="271" w:name="_Toc163508380"/>
      <w:r/>
      <w:bookmarkStart w:id="272" w:name="_Toc21262352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513029235"/>
      <w:r/>
      <w:bookmarkStart w:id="274" w:name="_Toc20823307"/>
      <w:r/>
      <w:bookmarkStart w:id="275"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63508381"/>
      <w:r/>
      <w:bookmarkStart w:id="277" w:name="_Toc120614219"/>
      <w:r/>
      <w:bookmarkStart w:id="278" w:name="_Toc163508306"/>
      <w:r/>
      <w:bookmarkStart w:id="279" w:name="_Toc212623526"/>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126235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83"/>
      <w:r/>
      <w:bookmarkStart w:id="288" w:name="_Toc163508308"/>
      <w:r/>
      <w:bookmarkStart w:id="289" w:name="_Toc212623528"/>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09"/>
      <w:r/>
      <w:bookmarkStart w:id="292" w:name="_Toc163508384"/>
      <w:r/>
      <w:bookmarkStart w:id="293" w:name="_Toc21262352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63508310"/>
      <w:r/>
      <w:bookmarkStart w:id="295" w:name="_Toc120614220"/>
      <w:r/>
      <w:bookmarkStart w:id="296" w:name="_Toc163508385"/>
      <w:r/>
      <w:bookmarkStart w:id="297" w:name="_Toc212623530"/>
      <w:r/>
      <w:bookmarkStart w:id="298" w:name="_Toc16938552"/>
      <w:r/>
      <w:bookmarkStart w:id="299" w:name="_Toc20823308"/>
      <w:r/>
      <w:bookmarkStart w:id="300" w:name="_Toc513029236"/>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297"/>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12623531"/>
      <w:r/>
      <w:bookmarkStart w:id="304" w:name="_Toc16938553"/>
      <w:r/>
      <w:bookmarkStart w:id="305" w:name="_Toc513029237"/>
      <w:r/>
      <w:bookmarkStart w:id="306" w:name="_Toc20823309"/>
      <w:r/>
      <w:bookmarkEnd w:id="298"/>
      <w:r/>
      <w:bookmarkEnd w:id="299"/>
      <w:r/>
      <w:bookmarkEnd w:id="30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3"/>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12"/>
      <w:r/>
      <w:bookmarkStart w:id="308" w:name="_Toc163508387"/>
      <w:r/>
      <w:bookmarkStart w:id="309" w:name="_Toc21262353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88"/>
      <w:r/>
      <w:bookmarkStart w:id="311" w:name="_Toc163508313"/>
      <w:r/>
      <w:bookmarkStart w:id="312" w:name="_Toc212623533"/>
      <w:r/>
      <w:bookmarkStart w:id="313" w:name="_Toc20823314"/>
      <w:r/>
      <w:bookmarkStart w:id="314" w:name="_Toc120614221"/>
      <w:r/>
      <w:bookmarkStart w:id="315" w:name="_Toc479757207"/>
      <w:r/>
      <w:bookmarkStart w:id="316" w:name="_Toc16938558"/>
      <w:r/>
      <w:bookmarkStart w:id="317" w:name="_Toc513029242"/>
      <w:r/>
      <w:bookmarkEnd w:id="304"/>
      <w:r/>
      <w:bookmarkEnd w:id="305"/>
      <w:r/>
      <w:bookmarkEnd w:id="3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2"/>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12623534"/>
      <w:r>
        <w:rPr>
          <w:rFonts w:hint="eastAsia" w:ascii="宋体" w:hAnsi="宋体" w:eastAsia="宋体" w:cs="Times New Roman"/>
          <w:b/>
          <w:color w:val="000000"/>
          <w:sz w:val="44"/>
          <w:szCs w:val="44"/>
        </w:rPr>
        <w:t xml:space="preserve">第三章  合同</w:t>
      </w:r>
      <w:bookmarkEnd w:id="313"/>
      <w:r/>
      <w:bookmarkEnd w:id="314"/>
      <w:r/>
      <w:bookmarkEnd w:id="315"/>
      <w:r/>
      <w:bookmarkEnd w:id="316"/>
      <w:r/>
      <w:bookmarkEnd w:id="317"/>
      <w:r>
        <w:rPr>
          <w:rFonts w:hint="eastAsia" w:ascii="宋体" w:hAnsi="宋体" w:eastAsia="宋体" w:cs="Times New Roman"/>
          <w:b/>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bookmarkStart w:id="321" w:name="_Hlt16619369"/>
      <w:r/>
      <w:bookmarkStart w:id="322" w:name="_Hlt16619350"/>
      <w:r/>
      <w:bookmarkStart w:id="323" w:name="_Toc120614244"/>
      <w:r/>
      <w:bookmarkStart w:id="324" w:name="_Toc16938590"/>
      <w:r/>
      <w:bookmarkStart w:id="325" w:name="_Toc20823346"/>
      <w:r/>
      <w:bookmarkStart w:id="326" w:name="_Toc462564139"/>
      <w:r/>
      <w:bookmarkStart w:id="327" w:name="_Toc479757211"/>
      <w:r/>
      <w:bookmarkEnd w:id="321"/>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JSZC-320581-SZJZ-G2025-0074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28"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8"/>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服务费用总金额为人民币</w:t>
      </w:r>
      <w:r>
        <w:rPr>
          <w:rFonts w:hint="eastAsia" w:ascii="宋体" w:hAnsi="宋体" w:eastAsia="宋体" w:cs="宋体"/>
          <w:bCs/>
          <w:color w:val="000000"/>
          <w:sz w:val="24"/>
          <w:szCs w:val="24"/>
          <w:u w:val="single"/>
        </w:rPr>
        <w:tab/>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元整（大写：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Times New Roman"/>
          <w:color w:val="000000"/>
          <w:sz w:val="24"/>
          <w:szCs w:val="24"/>
        </w:rPr>
        <w:t xml:space="preserve">本合同为固定总价合同</w:t>
      </w:r>
      <w:r>
        <w:rPr>
          <w:rFonts w:hint="eastAsia" w:ascii="宋体" w:hAnsi="宋体" w:eastAsia="宋体" w:cs="宋体"/>
          <w:bCs/>
          <w:color w:val="000000"/>
          <w:sz w:val="24"/>
          <w:szCs w:val="24"/>
        </w:rPr>
        <w:t xml:space="preserve">。</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60" w:lineRule="exact"/>
        <w:tabs>
          <w:tab w:val="left" w:pos="0" w:leader="none"/>
        </w:tabs>
        <w:rPr>
          <w:rFonts w:ascii="宋体" w:hAnsi="宋体" w:eastAsia="宋体" w:cs="宋体"/>
          <w:b/>
          <w:bCs/>
          <w:color w:val="ff0000"/>
          <w:sz w:val="24"/>
          <w:szCs w:val="24"/>
        </w:rPr>
      </w:pPr>
      <w:r>
        <w:rPr>
          <w:rFonts w:hint="eastAsia" w:ascii="Times New Roman" w:hAnsi="Times New Roman" w:eastAsia="宋体" w:cs="Times New Roman"/>
          <w:i/>
          <w:sz w:val="24"/>
          <w:szCs w:val="24"/>
          <w:u w:val="single"/>
        </w:rPr>
        <w:t xml:space="preserve">合同签订后的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作为预付款；第一年运维服务期结束后的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，第二年运维服务期结束后的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，第三年运维服务期结束后的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一次性付清合同余款</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，付款额根据</w:t>
      </w:r>
      <w:r>
        <w:rPr>
          <w:rFonts w:ascii="Times New Roman" w:hAnsi="Times New Roman" w:eastAsia="宋体" w:cs="Times New Roman"/>
          <w:i/>
          <w:sz w:val="24"/>
          <w:szCs w:val="24"/>
          <w:u w:val="single"/>
        </w:rPr>
        <w:t xml:space="preserve">实际运维质量按照运维考核</w:t>
      </w:r>
      <w:r>
        <w:rPr>
          <w:rFonts w:ascii="Times New Roman" w:hAnsi="Times New Roman" w:eastAsia="宋体" w:cs="Times New Roman"/>
          <w:i/>
          <w:sz w:val="24"/>
          <w:szCs w:val="24"/>
          <w:u w:val="single"/>
        </w:rPr>
        <w:t xml:space="preserve">办法扣除相应费用。</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 供应商在</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文件中拟投入人员即实际提供履约服务的人员，非经采购人允许，不得随便更换。如确需更换的，需保证服务人员的职称、证书、资历等要求不得低于</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6.3 采购人需切实履行好主体责任，对于履约服务人员的职称、证书、资历等开展日常核实并记录在册。如不能符合要求的，应追究供应商违约责任。</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6.4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无</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rPr>
          <w:rFonts w:ascii="宋体" w:hAnsi="宋体" w:eastAsia="宋体" w:cs="Times New Roman"/>
          <w:color w:val="000000"/>
          <w:sz w:val="24"/>
          <w:szCs w:val="24"/>
        </w:rPr>
        <w:t xml:space="preserve"> </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9" w:name="_Toc163508315"/>
      <w:r/>
      <w:bookmarkStart w:id="330" w:name="_Toc163508390"/>
      <w:r/>
      <w:bookmarkStart w:id="331" w:name="_Toc212623535"/>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57604637"/>
      <w:r/>
      <w:bookmarkStart w:id="333" w:name="_Toc163508316"/>
      <w:r/>
      <w:bookmarkStart w:id="334" w:name="_Toc163508391"/>
      <w:r/>
      <w:bookmarkStart w:id="335" w:name="_Toc212623536"/>
      <w:r/>
      <w:bookmarkStart w:id="336" w:name="_Toc26554093"/>
      <w:r/>
      <w:bookmarkStart w:id="337" w:name="_Toc120614281"/>
      <w:r/>
      <w:bookmarkStart w:id="338" w:name="_Toc49090575"/>
      <w:r>
        <w:rPr>
          <w:rFonts w:hint="eastAsia" w:ascii="Times New Roman" w:hAnsi="Times New Roman" w:eastAsia="宋体" w:cs="Times New Roman"/>
          <w:b/>
          <w:bCs/>
          <w:sz w:val="28"/>
          <w:szCs w:val="28"/>
        </w:rPr>
        <w:t xml:space="preserve">一、项目说明</w:t>
      </w:r>
      <w:bookmarkEnd w:id="332"/>
      <w:r/>
      <w:bookmarkEnd w:id="333"/>
      <w:r/>
      <w:bookmarkEnd w:id="334"/>
      <w:r/>
      <w:bookmarkEnd w:id="33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、采购内容：常熟经济技术开发区管理委员会所需的</w:t>
      </w:r>
      <w:r>
        <w:rPr>
          <w:rFonts w:hint="eastAsia" w:ascii="Times New Roman" w:hAnsi="Times New Roman" w:eastAsia="宋体" w:cs="Times New Roman"/>
          <w:sz w:val="24"/>
          <w:szCs w:val="24"/>
        </w:rPr>
        <w:t xml:space="preserve">经开区大气自动监测设备运维服务</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、服务范围（地点）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36</w:t>
      </w:r>
      <w:r>
        <w:rPr>
          <w:rFonts w:ascii="Times New Roman" w:hAnsi="Times New Roman" w:eastAsia="宋体" w:cs="Times New Roman"/>
          <w:sz w:val="24"/>
          <w:szCs w:val="24"/>
        </w:rPr>
        <w:t xml:space="preserve">台空气微站、东张空气站、吴市空气站。</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、服务期限：自合同签订之日起至</w:t>
      </w:r>
      <w:r>
        <w:rPr>
          <w:rFonts w:ascii="Times New Roman" w:hAnsi="Times New Roman" w:eastAsia="宋体" w:cs="Times New Roman"/>
          <w:i/>
          <w:sz w:val="24"/>
          <w:szCs w:val="24"/>
          <w:u w:val="single"/>
        </w:rPr>
        <w:t xml:space="preserve">2028</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14</w:t>
      </w:r>
      <w:r>
        <w:rPr>
          <w:rFonts w:ascii="Times New Roman" w:hAnsi="Times New Roman" w:eastAsia="宋体" w:cs="Times New Roman"/>
          <w:i/>
          <w:sz w:val="24"/>
          <w:szCs w:val="24"/>
          <w:u w:val="single"/>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、结算方式：总价包干</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、付款方式：合同签订后的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作为预付款；第一年运维服务期结束后的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，第二年运维服务期结束后的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，第三年运维服务期结束后的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个月内，采购人向中标人一次性付清合同余款</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，付款额根据</w:t>
      </w:r>
      <w:r>
        <w:rPr>
          <w:rFonts w:ascii="Times New Roman" w:hAnsi="Times New Roman" w:eastAsia="宋体" w:cs="Times New Roman"/>
          <w:i/>
          <w:sz w:val="24"/>
          <w:szCs w:val="24"/>
          <w:u w:val="single"/>
        </w:rPr>
        <w:t xml:space="preserve">实际运维质量按照运维考核</w:t>
      </w:r>
      <w:r>
        <w:rPr>
          <w:rFonts w:ascii="Times New Roman" w:hAnsi="Times New Roman" w:eastAsia="宋体" w:cs="Times New Roman"/>
          <w:i/>
          <w:sz w:val="24"/>
          <w:szCs w:val="24"/>
          <w:u w:val="single"/>
        </w:rPr>
        <w:t xml:space="preserve">办法扣除相应费用。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eastAsia="宋体" w:cs="Times New Roman"/>
          <w:b/>
          <w:bCs/>
          <w:sz w:val="28"/>
          <w:szCs w:val="28"/>
        </w:rPr>
        <w:outlineLvl w:val="1"/>
      </w:pPr>
      <w:r/>
      <w:bookmarkStart w:id="339" w:name="_Toc153263475"/>
      <w:r/>
      <w:bookmarkStart w:id="340" w:name="_Toc163508317"/>
      <w:r/>
      <w:bookmarkStart w:id="341" w:name="_Toc163508392"/>
      <w:r/>
      <w:bookmarkStart w:id="342" w:name="_Toc157604638"/>
      <w:r/>
      <w:bookmarkStart w:id="343" w:name="_Toc212623537"/>
      <w:r>
        <w:rPr>
          <w:rFonts w:hint="eastAsia" w:ascii="Times New Roman" w:hAnsi="Times New Roman" w:eastAsia="宋体" w:cs="Times New Roman"/>
          <w:b/>
          <w:bCs/>
          <w:sz w:val="28"/>
          <w:szCs w:val="28"/>
        </w:rPr>
        <w:t xml:space="preserve">二、项目</w:t>
      </w:r>
      <w:bookmarkEnd w:id="339"/>
      <w:r/>
      <w:bookmarkEnd w:id="340"/>
      <w:r/>
      <w:bookmarkEnd w:id="341"/>
      <w:r/>
      <w:bookmarkEnd w:id="342"/>
      <w:r>
        <w:rPr>
          <w:rFonts w:hint="eastAsia" w:ascii="Times New Roman" w:hAnsi="Times New Roman" w:eastAsia="宋体" w:cs="Times New Roman"/>
          <w:b/>
          <w:bCs/>
          <w:sz w:val="28"/>
          <w:szCs w:val="28"/>
        </w:rPr>
        <w:t xml:space="preserve">服务清单</w:t>
      </w:r>
      <w:bookmarkEnd w:id="343"/>
      <w:r/>
      <w:r/>
    </w:p>
    <w:tbl>
      <w:tblPr>
        <w:tblW w:w="7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7"/>
        <w:gridCol w:w="1565"/>
        <w:gridCol w:w="3589"/>
        <w:gridCol w:w="1079"/>
      </w:tblGrid>
      <w:tr>
        <w:trPr>
          <w:jc w:val="center"/>
          <w:trHeight w:val="39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运</w:t>
            </w:r>
            <w:r>
              <w:rPr>
                <w:rFonts w:hint="eastAsia" w:ascii="宋体" w:hAnsi="宋体" w:eastAsia="宋体" w:cs="Arial"/>
                <w:b/>
                <w:sz w:val="22"/>
                <w:szCs w:val="20"/>
                <w:lang w:bidi="ar"/>
              </w:rPr>
              <w:t xml:space="preserve">维项目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54" w:type="dxa"/>
            <w:vAlign w:val="center"/>
            <w:textDirection w:val="lrTb"/>
            <w:noWrap w:val="false"/>
          </w:tcPr>
          <w:p>
            <w:pPr>
              <w:jc w:val="center"/>
              <w:widowControl/>
              <w:rPr>
                <w:rFonts w:ascii="宋体" w:hAnsi="宋体" w:eastAsia="宋体" w:cs="Arial"/>
                <w:b/>
                <w:sz w:val="22"/>
                <w:szCs w:val="20"/>
              </w:rPr>
            </w:pPr>
            <w:r>
              <w:rPr>
                <w:rFonts w:hint="eastAsia" w:ascii="宋体" w:hAnsi="宋体" w:eastAsia="宋体" w:cs="Arial"/>
                <w:b/>
                <w:sz w:val="22"/>
                <w:szCs w:val="20"/>
                <w:lang w:bidi="ar"/>
              </w:rPr>
              <w:t xml:space="preserve">设备</w:t>
            </w:r>
            <w:r>
              <w:rPr>
                <w:rFonts w:hint="eastAsia" w:ascii="宋体" w:hAnsi="宋体" w:eastAsia="宋体" w:cs="Arial"/>
                <w:b/>
                <w:sz w:val="22"/>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数量</w:t>
            </w:r>
            <w:r/>
          </w:p>
        </w:tc>
      </w:tr>
      <w:tr>
        <w:trPr>
          <w:jc w:val="center"/>
        </w:trPr>
        <w:tc>
          <w:tcPr>
            <w:tcBorders>
              <w:top w:val="single" w:color="000000" w:sz="4" w:space="0"/>
              <w:left w:val="single" w:color="000000" w:sz="4" w:space="0"/>
              <w:right w:val="single" w:color="000000" w:sz="4" w:space="0"/>
            </w:tcBorders>
            <w:tcW w:w="1627" w:type="dxa"/>
            <w:vAlign w:val="center"/>
            <w:vMerge w:val="restart"/>
            <w:textDirection w:val="lrTb"/>
            <w:noWrap w:val="false"/>
          </w:tcPr>
          <w:p>
            <w:pPr>
              <w:jc w:val="center"/>
              <w:widowControl/>
              <w:rPr>
                <w:rFonts w:ascii="宋体" w:hAnsi="宋体" w:eastAsia="宋体" w:cs="Times New Roman"/>
                <w:sz w:val="24"/>
                <w:szCs w:val="20"/>
              </w:rPr>
            </w:pPr>
            <w:r>
              <w:rPr>
                <w:rFonts w:hint="eastAsia" w:ascii="宋体" w:hAnsi="宋体" w:eastAsia="宋体" w:cs="Times New Roman"/>
                <w:sz w:val="24"/>
                <w:szCs w:val="20"/>
              </w:rPr>
              <w:t xml:space="preserve">限值限量监测监控系统项目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widowControl/>
              <w:rPr>
                <w:rFonts w:ascii="宋体" w:hAnsi="宋体" w:eastAsia="宋体" w:cs="Arial"/>
                <w:sz w:val="22"/>
                <w:szCs w:val="20"/>
              </w:rPr>
            </w:pPr>
            <w:r>
              <w:rPr>
                <w:rFonts w:hint="eastAsia" w:ascii="宋体" w:hAnsi="宋体" w:eastAsia="宋体" w:cs="Times New Roman"/>
                <w:sz w:val="24"/>
                <w:szCs w:val="20"/>
              </w:rPr>
              <w:t xml:space="preserve">东张空气自动站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2.5</w:t>
            </w:r>
            <w:r>
              <w:rPr>
                <w:rFonts w:hint="eastAsia" w:ascii="宋体" w:hAnsi="宋体" w:eastAsia="宋体" w:cs="宋体"/>
                <w:sz w:val="22"/>
                <w:szCs w:val="20"/>
                <w:lang w:bidi="ar"/>
              </w:rPr>
              <w:t xml:space="preserve">颗粒</w:t>
            </w:r>
            <w:r>
              <w:rPr>
                <w:rFonts w:hint="eastAsia" w:ascii="宋体" w:hAnsi="宋体" w:eastAsia="宋体" w:cs="宋体"/>
                <w:sz w:val="22"/>
                <w:szCs w:val="20"/>
                <w:lang w:bidi="ar"/>
              </w:rPr>
              <w:t xml:space="preserve">物分析</w:t>
            </w:r>
            <w:r>
              <w:rPr>
                <w:rFonts w:hint="eastAsia" w:ascii="宋体" w:hAnsi="宋体" w:eastAsia="宋体" w:cs="宋体"/>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10</w:t>
            </w:r>
            <w:r>
              <w:rPr>
                <w:rFonts w:hint="eastAsia" w:ascii="宋体" w:hAnsi="宋体" w:eastAsia="宋体" w:cs="宋体"/>
                <w:sz w:val="22"/>
                <w:szCs w:val="20"/>
                <w:lang w:bidi="ar"/>
              </w:rPr>
              <w:t xml:space="preserve">颗粒</w:t>
            </w:r>
            <w:r>
              <w:rPr>
                <w:rFonts w:hint="eastAsia" w:ascii="宋体" w:hAnsi="宋体" w:eastAsia="宋体" w:cs="宋体"/>
                <w:sz w:val="22"/>
                <w:szCs w:val="20"/>
                <w:lang w:bidi="ar"/>
              </w:rPr>
              <w:t xml:space="preserve">物分析</w:t>
            </w:r>
            <w:r>
              <w:rPr>
                <w:rFonts w:hint="eastAsia" w:ascii="宋体" w:hAnsi="宋体" w:eastAsia="宋体" w:cs="宋体"/>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甲烷非甲烷总烃分析系统（含校准系统）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有机物校准仪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宋体"/>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数据采集系统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站房（</w:t>
            </w:r>
            <w:r>
              <w:rPr>
                <w:rFonts w:hint="eastAsia" w:ascii="宋体" w:hAnsi="宋体" w:eastAsia="宋体" w:cs="宋体"/>
                <w:sz w:val="22"/>
                <w:szCs w:val="20"/>
                <w:lang w:bidi="ar"/>
              </w:rPr>
              <w:t xml:space="preserve">含基础</w:t>
            </w:r>
            <w:r>
              <w:rPr>
                <w:rFonts w:hint="eastAsia" w:ascii="宋体" w:hAnsi="宋体" w:eastAsia="宋体" w:cs="宋体"/>
                <w:sz w:val="22"/>
                <w:szCs w:val="20"/>
                <w:lang w:bidi="ar"/>
              </w:rPr>
              <w:t xml:space="preserve">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4"/>
                <w:szCs w:val="20"/>
              </w:rPr>
            </w:pPr>
            <w:r>
              <w:rPr>
                <w:rFonts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rPr>
                <w:rFonts w:ascii="宋体" w:hAnsi="宋体" w:eastAsia="宋体" w:cs="Arial"/>
                <w:sz w:val="22"/>
                <w:szCs w:val="20"/>
              </w:rPr>
            </w:pPr>
            <w:r>
              <w:rPr>
                <w:rFonts w:hint="eastAsia" w:ascii="宋体" w:hAnsi="宋体" w:eastAsia="宋体" w:cs="Times New Roman"/>
                <w:sz w:val="24"/>
                <w:szCs w:val="20"/>
              </w:rPr>
              <w:t xml:space="preserve">吴市空气自动站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2.5</w:t>
            </w:r>
            <w:r>
              <w:rPr>
                <w:rFonts w:hint="eastAsia" w:ascii="宋体" w:hAnsi="宋体" w:eastAsia="宋体" w:cs="Arial"/>
                <w:sz w:val="22"/>
                <w:szCs w:val="20"/>
                <w:lang w:bidi="ar"/>
              </w:rPr>
              <w:t xml:space="preserve">颗粒</w:t>
            </w:r>
            <w:r>
              <w:rPr>
                <w:rFonts w:hint="eastAsia" w:ascii="宋体" w:hAnsi="宋体" w:eastAsia="宋体" w:cs="Arial"/>
                <w:sz w:val="22"/>
                <w:szCs w:val="20"/>
                <w:lang w:bidi="ar"/>
              </w:rPr>
              <w:t xml:space="preserve">物分析</w:t>
            </w:r>
            <w:r>
              <w:rPr>
                <w:rFonts w:hint="eastAsia" w:ascii="宋体" w:hAnsi="宋体" w:eastAsia="宋体" w:cs="Arial"/>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b/>
                <w:sz w:val="22"/>
                <w:szCs w:val="20"/>
                <w:lang w:bidi="ar"/>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10</w:t>
            </w:r>
            <w:r>
              <w:rPr>
                <w:rFonts w:hint="eastAsia" w:ascii="宋体" w:hAnsi="宋体" w:eastAsia="宋体" w:cs="Arial"/>
                <w:sz w:val="22"/>
                <w:szCs w:val="20"/>
                <w:lang w:bidi="ar"/>
              </w:rPr>
              <w:t xml:space="preserve">颗粒</w:t>
            </w:r>
            <w:r>
              <w:rPr>
                <w:rFonts w:hint="eastAsia" w:ascii="宋体" w:hAnsi="宋体" w:eastAsia="宋体" w:cs="Arial"/>
                <w:sz w:val="22"/>
                <w:szCs w:val="20"/>
                <w:lang w:bidi="ar"/>
              </w:rPr>
              <w:t xml:space="preserve">物分析</w:t>
            </w:r>
            <w:r>
              <w:rPr>
                <w:rFonts w:hint="eastAsia" w:ascii="宋体" w:hAnsi="宋体" w:eastAsia="宋体" w:cs="Arial"/>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氮气发生器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空气发生器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数据采集 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有机物校准仪等组成部分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站房</w:t>
            </w:r>
            <w:r>
              <w:rPr>
                <w:rFonts w:hint="eastAsia" w:ascii="宋体" w:hAnsi="宋体" w:eastAsia="宋体" w:cs="宋体"/>
                <w:sz w:val="22"/>
                <w:szCs w:val="20"/>
                <w:lang w:bidi="ar"/>
              </w:rPr>
              <w:t xml:space="preserve">（</w:t>
            </w:r>
            <w:r>
              <w:rPr>
                <w:rFonts w:hint="eastAsia" w:ascii="宋体" w:hAnsi="宋体" w:eastAsia="宋体" w:cs="宋体"/>
                <w:sz w:val="22"/>
                <w:szCs w:val="20"/>
                <w:lang w:bidi="ar"/>
              </w:rPr>
              <w:t xml:space="preserve">含基础</w:t>
            </w:r>
            <w:r>
              <w:rPr>
                <w:rFonts w:hint="eastAsia" w:ascii="宋体" w:hAnsi="宋体" w:eastAsia="宋体" w:cs="宋体"/>
                <w:sz w:val="22"/>
                <w:szCs w:val="20"/>
                <w:lang w:bidi="ar"/>
              </w:rPr>
              <w:t xml:space="preserve">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right w:val="single" w:color="000000" w:sz="4" w:space="0"/>
            </w:tcBorders>
            <w:tcMar>
              <w:left w:w="15" w:type="dxa"/>
              <w:top w:w="15" w:type="dxa"/>
              <w:right w:w="15" w:type="dxa"/>
              <w:bottom w:w="15" w:type="dxa"/>
            </w:tcMar>
            <w:tcW w:w="1565"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Arial"/>
                <w:sz w:val="22"/>
                <w:lang w:bidi="ar"/>
              </w:rPr>
              <w:t xml:space="preserve">微型空气站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ascii="Times New Roman" w:hAnsi="Times New Roman" w:eastAsia="宋体" w:cs="Times New Roman"/>
                <w:szCs w:val="20"/>
                <w:lang w:bidi="ar"/>
              </w:rPr>
              <w:t xml:space="preserve">监测参数：气象五参数、</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2.5</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10</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NO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SO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CO</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O</w:t>
            </w:r>
            <w:r>
              <w:rPr>
                <w:rFonts w:ascii="Times New Roman" w:hAnsi="Times New Roman" w:eastAsia="宋体" w:cs="Times New Roman"/>
                <w:szCs w:val="20"/>
                <w:vertAlign w:val="subscript"/>
                <w:lang w:bidi="ar"/>
              </w:rPr>
              <w:t xml:space="preserve">3</w:t>
            </w:r>
            <w:r>
              <w:rPr>
                <w:rFonts w:ascii="Times New Roman" w:hAnsi="Times New Roman" w:eastAsia="宋体" w:cs="Times New Roman"/>
                <w:szCs w:val="20"/>
                <w:lang w:bidi="ar"/>
              </w:rPr>
              <w:t xml:space="preserve">和</w:t>
            </w:r>
            <w:r>
              <w:rPr>
                <w:rFonts w:ascii="Times New Roman" w:hAnsi="Times New Roman" w:eastAsia="宋体" w:cs="Times New Roman"/>
                <w:szCs w:val="20"/>
                <w:lang w:bidi="ar"/>
              </w:rPr>
              <w:t xml:space="preserve">TVOC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36</w:t>
            </w:r>
            <w:r/>
          </w:p>
        </w:tc>
      </w:tr>
    </w:tbl>
    <w:p>
      <w:pPr>
        <w:spacing w:line="440" w:lineRule="exact"/>
        <w:rPr>
          <w:rFonts w:ascii="Times New Roman" w:hAnsi="Times New Roman" w:eastAsia="宋体" w:cs="Times New Roman"/>
          <w:b/>
          <w:bCs/>
          <w:sz w:val="28"/>
          <w:szCs w:val="28"/>
        </w:rPr>
        <w:outlineLvl w:val="1"/>
      </w:pPr>
      <w:r/>
      <w:bookmarkStart w:id="344" w:name="_Toc151033874"/>
      <w:r/>
      <w:bookmarkStart w:id="345" w:name="_Toc103781675"/>
      <w:r/>
      <w:bookmarkStart w:id="346" w:name="_Toc212623538"/>
      <w:r/>
      <w:bookmarkStart w:id="347" w:name="_Toc163508320"/>
      <w:r/>
      <w:bookmarkStart w:id="348" w:name="_Toc153263479"/>
      <w:r/>
      <w:bookmarkStart w:id="349" w:name="_Toc163508395"/>
      <w:r/>
      <w:bookmarkStart w:id="350" w:name="_Toc157604642"/>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项目服务要求：</w:t>
      </w:r>
      <w:bookmarkEnd w:id="344"/>
      <w:r/>
      <w:bookmarkEnd w:id="345"/>
      <w:r/>
      <w:bookmarkEnd w:id="346"/>
      <w:r/>
      <w:r/>
    </w:p>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（一）总体</w:t>
      </w:r>
      <w:r>
        <w:rPr>
          <w:rFonts w:hint="eastAsia" w:ascii="宋体" w:hAnsi="宋体" w:eastAsia="宋体" w:cs="Times New Roman"/>
          <w:b/>
          <w:sz w:val="24"/>
          <w:szCs w:val="20"/>
        </w:rPr>
        <w:t xml:space="preserve">要求</w:t>
      </w:r>
      <w:r/>
    </w:p>
    <w:p>
      <w:pPr>
        <w:ind w:firstLine="480"/>
        <w:spacing w:line="440" w:lineRule="exact"/>
        <w:rPr>
          <w:rFonts w:ascii="宋体" w:hAnsi="宋体" w:eastAsia="宋体" w:cs="Times New Roman"/>
          <w:i/>
          <w:sz w:val="24"/>
          <w:szCs w:val="24"/>
          <w:u w:val="single"/>
        </w:rPr>
      </w:pPr>
      <w:r>
        <w:rPr>
          <w:rFonts w:ascii="宋体" w:hAnsi="宋体" w:eastAsia="宋体" w:cs="Segoe UI Emoji"/>
          <w:i/>
          <w:sz w:val="24"/>
          <w:szCs w:val="24"/>
          <w:u w:val="single"/>
        </w:rPr>
        <w:t xml:space="preserve">1</w:t>
      </w:r>
      <w:r>
        <w:rPr>
          <w:rFonts w:hint="eastAsia" w:ascii="宋体" w:hAnsi="宋体" w:eastAsia="宋体" w:cs="Segoe UI Emoji"/>
          <w:i/>
          <w:sz w:val="24"/>
          <w:szCs w:val="24"/>
          <w:u w:val="single"/>
        </w:rPr>
        <w:t xml:space="preserve">.</w:t>
      </w:r>
      <w:r>
        <w:rPr>
          <w:rFonts w:hint="eastAsia" w:ascii="宋体" w:hAnsi="宋体" w:eastAsia="宋体" w:cs="Times New Roman"/>
          <w:i/>
          <w:sz w:val="24"/>
          <w:szCs w:val="24"/>
          <w:u w:val="single"/>
        </w:rPr>
        <w:t xml:space="preserve">按照《江苏省环境空气自动监测质量管理暂行规定》</w:t>
      </w:r>
      <w:r>
        <w:rPr>
          <w:rFonts w:hint="eastAsia" w:ascii="宋体" w:hAnsi="宋体" w:eastAsia="宋体" w:cs="Times New Roman"/>
          <w:i/>
          <w:sz w:val="24"/>
          <w:szCs w:val="24"/>
          <w:u w:val="single"/>
        </w:rPr>
        <w:t xml:space="preserve">苏环监</w:t>
      </w:r>
      <w:r>
        <w:rPr>
          <w:rFonts w:ascii="宋体" w:hAnsi="宋体" w:eastAsia="宋体" w:cs="Times New Roman"/>
          <w:i/>
          <w:sz w:val="24"/>
          <w:szCs w:val="24"/>
          <w:u w:val="single"/>
        </w:rPr>
        <w:t xml:space="preserve">[2012]6</w:t>
      </w:r>
      <w:r>
        <w:rPr>
          <w:rFonts w:hint="eastAsia" w:ascii="宋体" w:hAnsi="宋体" w:eastAsia="宋体" w:cs="Times New Roman"/>
          <w:i/>
          <w:sz w:val="24"/>
          <w:szCs w:val="24"/>
          <w:u w:val="single"/>
        </w:rPr>
        <w:t xml:space="preserve">号、《</w:t>
      </w:r>
      <w:r>
        <w:rPr>
          <w:rFonts w:ascii="宋体" w:hAnsi="宋体" w:eastAsia="宋体" w:cs="Times New Roman"/>
          <w:i/>
          <w:sz w:val="24"/>
          <w:szCs w:val="24"/>
          <w:u w:val="single"/>
        </w:rPr>
        <w:t xml:space="preserve">环境空气颗粒物（PM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ascii="宋体" w:hAnsi="宋体" w:eastAsia="宋体" w:cs="Times New Roman"/>
          <w:i/>
          <w:sz w:val="24"/>
          <w:szCs w:val="24"/>
          <w:u w:val="single"/>
        </w:rPr>
        <w:t xml:space="preserve">）连续自动监测系统运行和质控技术规范</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HJ 817-2018 </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环境空</w:t>
      </w:r>
      <w:r>
        <w:rPr>
          <w:rFonts w:hint="eastAsia" w:ascii="宋体" w:hAnsi="宋体" w:eastAsia="宋体" w:cs="Times New Roman"/>
          <w:i/>
          <w:sz w:val="24"/>
          <w:szCs w:val="24"/>
          <w:u w:val="single"/>
        </w:rPr>
        <w:t xml:space="preserve">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、CO）连续自动监测系统运行和质控技术规范》</w:t>
      </w:r>
      <w:r>
        <w:rPr>
          <w:rFonts w:ascii="宋体" w:hAnsi="宋体" w:eastAsia="宋体" w:cs="Times New Roman"/>
          <w:i/>
          <w:sz w:val="24"/>
          <w:szCs w:val="24"/>
          <w:u w:val="single"/>
        </w:rPr>
        <w:t xml:space="preserve">HJ 81</w:t>
      </w:r>
      <w:r>
        <w:rPr>
          <w:rFonts w:hint="eastAsia" w:ascii="宋体" w:hAnsi="宋体" w:eastAsia="宋体" w:cs="Times New Roman"/>
          <w:i/>
          <w:sz w:val="24"/>
          <w:szCs w:val="24"/>
          <w:u w:val="single"/>
        </w:rPr>
        <w:t xml:space="preserve">8</w:t>
      </w:r>
      <w:r>
        <w:rPr>
          <w:rFonts w:ascii="宋体" w:hAnsi="宋体" w:eastAsia="宋体" w:cs="Times New Roman"/>
          <w:i/>
          <w:sz w:val="24"/>
          <w:szCs w:val="24"/>
          <w:u w:val="single"/>
        </w:rPr>
        <w:t xml:space="preserve">-2018</w:t>
      </w:r>
      <w:r>
        <w:rPr>
          <w:rFonts w:hint="eastAsia" w:ascii="宋体" w:hAnsi="宋体" w:eastAsia="宋体" w:cs="Times New Roman"/>
          <w:i/>
          <w:sz w:val="24"/>
          <w:szCs w:val="24"/>
          <w:u w:val="single"/>
        </w:rPr>
        <w:t xml:space="preserve">、《环境空气质量标准》GB3095-2012、《环境空气颗粒物（</w:t>
      </w:r>
      <w:r>
        <w:rPr>
          <w:rFonts w:ascii="宋体" w:hAnsi="宋体" w:eastAsia="宋体" w:cs="Times New Roman"/>
          <w:i/>
          <w:sz w:val="24"/>
          <w:szCs w:val="24"/>
          <w:u w:val="single"/>
        </w:rPr>
        <w:t xml:space="preserve">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hint="eastAsia" w:ascii="宋体" w:hAnsi="宋体" w:eastAsia="宋体" w:cs="Times New Roman"/>
          <w:i/>
          <w:sz w:val="24"/>
          <w:szCs w:val="24"/>
          <w:u w:val="single"/>
        </w:rPr>
        <w:t xml:space="preserve">）连续自动监测系统技术要求及检测方法》HJ653-2013、《环境空气气态污染物（SO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、CO）连续自动监测系统技术要求及检测方法》HJ654-2013、《省生态环境厅关于印发</w:t>
      </w:r>
      <w:r>
        <w:rPr>
          <w:rFonts w:ascii="宋体" w:hAnsi="宋体" w:eastAsia="宋体" w:cs="Times New Roman"/>
          <w:i/>
          <w:sz w:val="24"/>
          <w:szCs w:val="24"/>
          <w:u w:val="single"/>
        </w:rPr>
        <w:t xml:space="preserve">&lt;</w:t>
      </w:r>
      <w:r>
        <w:rPr>
          <w:rFonts w:hint="eastAsia" w:ascii="宋体" w:hAnsi="宋体" w:eastAsia="宋体" w:cs="Times New Roman"/>
          <w:i/>
          <w:sz w:val="24"/>
          <w:szCs w:val="24"/>
          <w:u w:val="single"/>
        </w:rPr>
        <w:t xml:space="preserve">江苏省工业园区（集中区）污染物排放限值限量环境空气自动监测监控系统运行管理技术规范（试行）</w:t>
      </w:r>
      <w:r>
        <w:rPr>
          <w:rFonts w:ascii="宋体" w:hAnsi="宋体" w:eastAsia="宋体" w:cs="Times New Roman"/>
          <w:i/>
          <w:sz w:val="24"/>
          <w:szCs w:val="24"/>
          <w:u w:val="single"/>
        </w:rPr>
        <w:t xml:space="preserve">&gt;</w:t>
      </w:r>
      <w:r>
        <w:rPr>
          <w:rFonts w:hint="eastAsia" w:ascii="宋体" w:hAnsi="宋体" w:eastAsia="宋体" w:cs="Times New Roman"/>
          <w:i/>
          <w:sz w:val="24"/>
          <w:szCs w:val="24"/>
          <w:u w:val="single"/>
        </w:rPr>
        <w:t xml:space="preserve">等文件的通知》（</w:t>
      </w:r>
      <w:r>
        <w:rPr>
          <w:rFonts w:hint="eastAsia" w:ascii="宋体" w:hAnsi="宋体" w:eastAsia="宋体" w:cs="Times New Roman"/>
          <w:i/>
          <w:sz w:val="24"/>
          <w:szCs w:val="24"/>
          <w:u w:val="single"/>
        </w:rPr>
        <w:t xml:space="preserve">苏环办</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2022</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142</w:t>
      </w:r>
      <w:r>
        <w:rPr>
          <w:rFonts w:hint="eastAsia" w:ascii="宋体" w:hAnsi="宋体" w:eastAsia="宋体" w:cs="Times New Roman"/>
          <w:i/>
          <w:sz w:val="24"/>
          <w:szCs w:val="24"/>
          <w:u w:val="single"/>
        </w:rPr>
        <w:t xml:space="preserve">号）、《江苏省环境空气自动监测站管理办法（试行）》（苏环</w:t>
      </w:r>
      <w:r>
        <w:rPr>
          <w:rFonts w:hint="eastAsia" w:ascii="宋体" w:hAnsi="宋体" w:eastAsia="宋体" w:cs="Times New Roman"/>
          <w:i/>
          <w:sz w:val="24"/>
          <w:szCs w:val="24"/>
          <w:u w:val="single"/>
        </w:rPr>
        <w:t xml:space="preserve">规</w:t>
      </w:r>
      <w:r>
        <w:rPr>
          <w:rFonts w:hint="eastAsia" w:ascii="宋体" w:hAnsi="宋体" w:eastAsia="宋体" w:cs="Times New Roman"/>
          <w:i/>
          <w:sz w:val="24"/>
          <w:szCs w:val="24"/>
          <w:u w:val="single"/>
        </w:rPr>
        <w:t xml:space="preserve">〔2019〕2号）</w:t>
      </w:r>
      <w:r>
        <w:rPr>
          <w:rFonts w:hint="eastAsia" w:ascii="Times New Roman" w:hAnsi="Times New Roman" w:eastAsia="宋体" w:cs="Times New Roman"/>
          <w:i/>
          <w:sz w:val="24"/>
          <w:szCs w:val="24"/>
          <w:u w:val="single"/>
        </w:rPr>
        <w:t xml:space="preserve">等相关技术规范和管理办法进行运行维护</w:t>
      </w:r>
      <w:r>
        <w:rPr>
          <w:rFonts w:hint="eastAsia" w:ascii="宋体" w:hAnsi="宋体" w:eastAsia="宋体" w:cs="Times New Roman"/>
          <w:i/>
          <w:sz w:val="24"/>
          <w:szCs w:val="24"/>
          <w:u w:val="single"/>
        </w:rPr>
        <w:t xml:space="preserve">，若实施新的</w:t>
      </w:r>
      <w:r>
        <w:rPr>
          <w:rFonts w:hint="eastAsia" w:ascii="Times New Roman" w:hAnsi="Times New Roman" w:eastAsia="宋体" w:cs="Times New Roman"/>
          <w:i/>
          <w:sz w:val="24"/>
          <w:szCs w:val="24"/>
          <w:u w:val="single"/>
        </w:rPr>
        <w:t xml:space="preserve">技术规范和管理办法</w:t>
      </w:r>
      <w:r>
        <w:rPr>
          <w:rFonts w:hint="eastAsia" w:ascii="宋体" w:hAnsi="宋体" w:eastAsia="宋体" w:cs="Times New Roman"/>
          <w:i/>
          <w:sz w:val="24"/>
          <w:szCs w:val="24"/>
          <w:u w:val="single"/>
        </w:rPr>
        <w:t xml:space="preserve">时，按新要求执行</w:t>
      </w:r>
      <w:r>
        <w:rPr>
          <w:rFonts w:ascii="宋体" w:hAnsi="宋体" w:eastAsia="宋体" w:cs="Times New Roman"/>
          <w:i/>
          <w:sz w:val="24"/>
          <w:szCs w:val="24"/>
          <w:u w:val="single"/>
        </w:rPr>
        <w:t xml:space="preserve">。</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.投标人不论何时都应承担监测数据的保密责任，不得以任何方式向外界传递任何监测数据。</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hint="eastAsia" w:ascii="宋体" w:hAnsi="宋体" w:eastAsia="宋体" w:cs="Times New Roman"/>
          <w:sz w:val="24"/>
          <w:szCs w:val="24"/>
        </w:rPr>
        <w:t xml:space="preserve">投标人应做好采购人平台的数据审核工作，对异常值进行分析，查明原因，有异常情况及时向采购人汇报。</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保持站房内部环境清洁，布置整齐，各仪器设备干净清洁，设备标识清楚；</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检查供电、电话及网络通讯的情况，保证系统的正常运行；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保证空调正常工作，仪器运行温度保持在25</w:t>
      </w:r>
      <w:r>
        <w:rPr>
          <w:rFonts w:hint="eastAsia" w:ascii="宋体" w:hAnsi="宋体" w:eastAsia="宋体" w:cs="Times New Roman"/>
          <w:sz w:val="24"/>
          <w:szCs w:val="24"/>
        </w:rPr>
        <w:t xml:space="preserve">℃</w:t>
      </w:r>
      <w:r>
        <w:rPr>
          <w:rFonts w:ascii="宋体" w:hAnsi="宋体" w:eastAsia="宋体" w:cs="Times New Roman"/>
          <w:sz w:val="24"/>
          <w:szCs w:val="24"/>
        </w:rPr>
        <w:t xml:space="preserve">左右，站房内温度日波动范围小于3</w:t>
      </w:r>
      <w:r>
        <w:rPr>
          <w:rFonts w:hint="eastAsia" w:ascii="宋体" w:hAnsi="宋体" w:eastAsia="宋体" w:cs="Times New Roman"/>
          <w:sz w:val="24"/>
          <w:szCs w:val="24"/>
        </w:rPr>
        <w:t xml:space="preserve">℃</w:t>
      </w:r>
      <w:r>
        <w:rPr>
          <w:rFonts w:ascii="宋体" w:hAnsi="宋体" w:eastAsia="宋体" w:cs="Times New Roman"/>
          <w:sz w:val="24"/>
          <w:szCs w:val="24"/>
        </w:rPr>
        <w:t xml:space="preserve">，相对湿度保持在85%以下；</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后指派</w:t>
      </w:r>
      <w:r>
        <w:rPr>
          <w:rFonts w:hint="eastAsia" w:ascii="宋体" w:hAnsi="宋体" w:eastAsia="宋体" w:cs="Times New Roman"/>
          <w:sz w:val="24"/>
          <w:szCs w:val="24"/>
        </w:rPr>
        <w:t xml:space="preserve">2人一车专门服务，服务</w:t>
      </w:r>
      <w:r>
        <w:rPr>
          <w:rFonts w:ascii="宋体" w:hAnsi="宋体" w:eastAsia="宋体" w:cs="Times New Roman"/>
          <w:sz w:val="24"/>
          <w:szCs w:val="24"/>
        </w:rPr>
        <w:t xml:space="preserve">点设备固定牢固，门窗关闭良好，人走关门，非工作人员未经许可不得入内；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8.投标人应指派的经培训合格的运</w:t>
      </w:r>
      <w:r>
        <w:rPr>
          <w:rFonts w:hint="eastAsia" w:ascii="宋体" w:hAnsi="宋体" w:eastAsia="宋体" w:cs="Times New Roman"/>
          <w:sz w:val="24"/>
          <w:szCs w:val="24"/>
        </w:rPr>
        <w:t xml:space="preserve">维人员</w:t>
      </w:r>
      <w:r>
        <w:rPr>
          <w:rFonts w:hint="eastAsia" w:ascii="宋体" w:hAnsi="宋体" w:eastAsia="宋体" w:cs="Times New Roman"/>
          <w:sz w:val="24"/>
          <w:szCs w:val="24"/>
        </w:rPr>
        <w:t xml:space="preserve">开展运维工作，相关人员应与投标文件中的人员一致，如有变动应提前与采购人协商，并提供与投标文件中同等能力的运维人员；</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9.提供备机，能够在接到备机需求48小时之内提供到现场；</w:t>
      </w:r>
      <w:r/>
    </w:p>
    <w:p>
      <w:pPr>
        <w:ind w:firstLine="480"/>
        <w:spacing w:line="440" w:lineRule="exact"/>
        <w:rPr>
          <w:rFonts w:ascii="宋体" w:hAnsi="宋体" w:eastAsia="宋体" w:cs="宋体"/>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投标</w:t>
      </w:r>
      <w:r>
        <w:rPr>
          <w:rFonts w:hint="eastAsia" w:ascii="宋体" w:hAnsi="宋体" w:cs="宋体"/>
          <w:sz w:val="24"/>
          <w:szCs w:val="24"/>
        </w:rPr>
        <w:t xml:space="preserve">人</w:t>
      </w:r>
      <w:r>
        <w:rPr>
          <w:rFonts w:hint="eastAsia" w:ascii="宋体" w:hAnsi="宋体" w:eastAsia="宋体" w:cs="宋体"/>
          <w:sz w:val="24"/>
          <w:szCs w:val="24"/>
        </w:rPr>
        <w:t xml:space="preserve">具有或委托用于质量控制实验室。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定期检查消防和安全设施，并做好站房年度防雷检测工作；</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12.</w:t>
      </w:r>
      <w:r>
        <w:rPr>
          <w:rFonts w:ascii="宋体" w:hAnsi="宋体" w:eastAsia="宋体" w:cs="Times New Roman"/>
          <w:sz w:val="24"/>
          <w:szCs w:val="24"/>
        </w:rPr>
        <w:t xml:space="preserve">每次维护后做好系统运行维护记录； </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13.</w:t>
      </w:r>
      <w:r>
        <w:rPr>
          <w:rFonts w:ascii="宋体" w:hAnsi="宋体" w:eastAsia="宋体" w:cs="Times New Roman"/>
          <w:sz w:val="24"/>
          <w:szCs w:val="24"/>
        </w:rPr>
        <w:t xml:space="preserve">进行维护时，应规范操作，注意安全，防止意外发生</w:t>
      </w:r>
      <w:r>
        <w:rPr>
          <w:rFonts w:hint="eastAsia" w:ascii="宋体" w:hAnsi="宋体"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14.如上级部门发布新的政策规范，工作要求应作相应调整；其他未明确的要求，根据</w:t>
      </w:r>
      <w:r>
        <w:rPr>
          <w:rFonts w:hint="eastAsia" w:ascii="宋体" w:hAnsi="宋体" w:eastAsia="宋体" w:cs="Times New Roman"/>
          <w:sz w:val="24"/>
          <w:szCs w:val="24"/>
        </w:rPr>
        <w:t xml:space="preserve">实际运维工作</w:t>
      </w:r>
      <w:r>
        <w:rPr>
          <w:rFonts w:hint="eastAsia" w:ascii="宋体" w:hAnsi="宋体" w:eastAsia="宋体" w:cs="Times New Roman"/>
          <w:sz w:val="24"/>
          <w:szCs w:val="24"/>
        </w:rPr>
        <w:t xml:space="preserve">确定，投标人必须服从安排</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（二）</w:t>
      </w:r>
      <w:r>
        <w:rPr>
          <w:rFonts w:ascii="宋体" w:hAnsi="宋体" w:eastAsia="宋体" w:cs="Times New Roman"/>
          <w:b/>
          <w:sz w:val="24"/>
          <w:szCs w:val="20"/>
        </w:rPr>
        <w:t xml:space="preserve">具体服务要求</w:t>
      </w:r>
      <w:r/>
    </w:p>
    <w:p>
      <w:pPr>
        <w:ind w:firstLine="480"/>
        <w:spacing w:line="440" w:lineRule="exact"/>
        <w:rPr>
          <w:rFonts w:ascii="Times New Roman" w:hAnsi="Times New Roman" w:eastAsia="宋体" w:cs="Times New Roman"/>
          <w:sz w:val="24"/>
          <w:szCs w:val="24"/>
        </w:rPr>
      </w:pPr>
      <w:r/>
      <w:bookmarkStart w:id="351" w:name="_Toc14821"/>
      <w:r/>
      <w:bookmarkStart w:id="352" w:name="_Toc30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环境空气自动监测站运维</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主要</w:t>
      </w:r>
      <w:r>
        <w:rPr>
          <w:rFonts w:ascii="Times New Roman" w:hAnsi="Times New Roman" w:eastAsia="宋体" w:cs="Times New Roman"/>
          <w:sz w:val="24"/>
          <w:szCs w:val="24"/>
        </w:rPr>
        <w:t xml:space="preserve">工作内容</w:t>
      </w:r>
      <w:r/>
    </w:p>
    <w:p>
      <w:pPr>
        <w:ind w:firstLine="480"/>
        <w:spacing w:line="440" w:lineRule="exact"/>
        <w:rPr>
          <w:rFonts w:ascii="宋体" w:hAnsi="宋体" w:eastAsia="宋体" w:cs="Times New Roman"/>
          <w:sz w:val="24"/>
          <w:szCs w:val="20"/>
        </w:rPr>
      </w:pPr>
      <w:r/>
      <w:bookmarkStart w:id="353" w:name="_Hlk150181273"/>
      <w:r>
        <w:rPr>
          <w:rFonts w:hint="eastAsia" w:ascii="宋体" w:hAnsi="宋体" w:eastAsia="宋体" w:cs="Times New Roman"/>
          <w:sz w:val="24"/>
          <w:szCs w:val="20"/>
        </w:rPr>
        <w:t xml:space="preserve">（1）</w:t>
      </w:r>
      <w:r>
        <w:rPr>
          <w:rFonts w:ascii="宋体" w:hAnsi="宋体" w:eastAsia="宋体" w:cs="Times New Roman"/>
          <w:sz w:val="24"/>
          <w:szCs w:val="20"/>
        </w:rPr>
        <w:t xml:space="preserve">空气站的日常运行维护；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）空气站的日常质量管理；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）空气站的日常安全管理；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）空气站监测数据的日常审核、上报；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）空气站的设备维护保养及维修；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）其他空气</w:t>
      </w:r>
      <w:r>
        <w:rPr>
          <w:rFonts w:ascii="宋体" w:hAnsi="宋体" w:eastAsia="宋体" w:cs="Times New Roman"/>
          <w:sz w:val="24"/>
          <w:szCs w:val="20"/>
        </w:rPr>
        <w:t xml:space="preserve">站相关</w:t>
      </w:r>
      <w:r>
        <w:rPr>
          <w:rFonts w:ascii="宋体" w:hAnsi="宋体" w:eastAsia="宋体" w:cs="Times New Roman"/>
          <w:sz w:val="24"/>
          <w:szCs w:val="20"/>
        </w:rPr>
        <w:t xml:space="preserve">辅助设施的维护、保养、维修；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）空气站数据采集及传输系统的维护及维修，保障空气站与采购人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通讯正常；</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）当仪器出现故障不能及时修复时，在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9</w:t>
      </w:r>
      <w:r>
        <w:rPr>
          <w:rFonts w:ascii="宋体" w:hAnsi="宋体" w:eastAsia="宋体" w:cs="Times New Roman"/>
          <w:sz w:val="24"/>
          <w:szCs w:val="20"/>
        </w:rPr>
        <w:t xml:space="preserve">）当仪器损坏报废不能修复时，在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监测，并同时报告采购人，采购人组织确认仪器损坏情况及原因，酌情处理。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10</w:t>
      </w:r>
      <w:r>
        <w:rPr>
          <w:rFonts w:ascii="宋体" w:hAnsi="宋体" w:eastAsia="宋体" w:cs="Times New Roman"/>
          <w:sz w:val="24"/>
          <w:szCs w:val="20"/>
        </w:rPr>
        <w:t xml:space="preserve">）对于仪器因自然灾害等不可抗力导致的仪器报废，先行及时使用备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监测，同时报告采购人；</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）隔年1月15日前提供一份年度运行总结报告，包含各子</w:t>
      </w:r>
      <w:r>
        <w:rPr>
          <w:rFonts w:hint="eastAsia" w:ascii="宋体" w:hAnsi="宋体" w:eastAsia="宋体" w:cs="Times New Roman"/>
          <w:sz w:val="24"/>
          <w:szCs w:val="20"/>
        </w:rPr>
        <w:t xml:space="preserve">站整体</w:t>
      </w:r>
      <w:r>
        <w:rPr>
          <w:rFonts w:hint="eastAsia" w:ascii="宋体" w:hAnsi="宋体" w:eastAsia="宋体" w:cs="Times New Roman"/>
          <w:sz w:val="24"/>
          <w:szCs w:val="20"/>
        </w:rPr>
        <w:t xml:space="preserve">运行状况、故障处理与原因分析、故障预防措施、异常监测数据分析等内容；</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监测站</w:t>
      </w:r>
      <w:r>
        <w:rPr>
          <w:rFonts w:hint="eastAsia" w:ascii="Times New Roman" w:hAnsi="Times New Roman" w:eastAsia="宋体" w:cs="Times New Roman"/>
          <w:sz w:val="24"/>
          <w:szCs w:val="24"/>
        </w:rPr>
        <w:t xml:space="preserve">房周巡检</w:t>
      </w:r>
      <w:r>
        <w:rPr>
          <w:rFonts w:hint="eastAsia" w:ascii="Times New Roman" w:hAnsi="Times New Roman" w:eastAsia="宋体" w:cs="Times New Roman"/>
          <w:sz w:val="24"/>
          <w:szCs w:val="24"/>
        </w:rPr>
        <w:t xml:space="preserve">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监测站房及周边环境应满足 HJ 193 相关要求。监测站房及辅助设备日常巡检应满足 HJ 818 相关要求。运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应对子站站房及辅助设备定期巡检，每周至少巡检 1 次，巡检工作主要包括：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（1）检查站房内温度是否保持在（25±5）℃，相对湿度保持在 85%以下。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）查看空气站设备是否齐备，无丢失和损坏；检查接地线路是否可靠，排风排气装置工作是否正常，标准气钢瓶阀门是否漏气，记录标准气的消耗情况，并填入记录表，</w:t>
      </w:r>
      <w:r>
        <w:rPr>
          <w:rFonts w:hint="eastAsia" w:ascii="宋体" w:hAnsi="宋体" w:eastAsia="宋体" w:cs="Times New Roman"/>
          <w:sz w:val="24"/>
          <w:szCs w:val="20"/>
        </w:rPr>
        <w:t xml:space="preserve">检查标气和</w:t>
      </w:r>
      <w:r>
        <w:rPr>
          <w:rFonts w:hint="eastAsia" w:ascii="宋体" w:hAnsi="宋体" w:eastAsia="宋体" w:cs="Times New Roman"/>
          <w:sz w:val="24"/>
          <w:szCs w:val="20"/>
        </w:rPr>
        <w:t xml:space="preserve">辅助气有效期、压力，气瓶压力低于 2 MPa（或系统相关要求值）前应更换。</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）在冬、夏季节应注意站房内外温差，应及时调整站房温度；检查采样管路保温措施，防止因温差造成采样装置出现冷凝水的现象。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）检查采样总管进气、排气是否正常，是否有漏气或堵塞现象，</w:t>
      </w:r>
      <w:r>
        <w:rPr>
          <w:rFonts w:hint="eastAsia" w:ascii="宋体" w:hAnsi="宋体" w:eastAsia="宋体" w:cs="Times New Roman"/>
          <w:sz w:val="24"/>
          <w:szCs w:val="20"/>
        </w:rPr>
        <w:t xml:space="preserve">各分析</w:t>
      </w:r>
      <w:r>
        <w:rPr>
          <w:rFonts w:hint="eastAsia" w:ascii="宋体" w:hAnsi="宋体" w:eastAsia="宋体" w:cs="Times New Roman"/>
          <w:sz w:val="24"/>
          <w:szCs w:val="20"/>
        </w:rPr>
        <w:t xml:space="preserve">仪器采样流量是否正常；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）检查外部环境是否正常，有没有对测定结果或运行环境存在明显影响的污染源；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）检查电路系统和通讯系统，保证系统供电正常，电压稳定；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）检查空气站的通讯系统，保证空气站与</w:t>
      </w:r>
      <w:r>
        <w:rPr>
          <w:rFonts w:ascii="宋体" w:hAnsi="宋体" w:eastAsia="宋体" w:cs="Times New Roman"/>
          <w:sz w:val="24"/>
          <w:szCs w:val="20"/>
        </w:rPr>
        <w:t xml:space="preserve">采购人平台</w:t>
      </w:r>
      <w:r>
        <w:rPr>
          <w:rFonts w:hint="eastAsia" w:ascii="宋体" w:hAnsi="宋体" w:eastAsia="宋体" w:cs="Times New Roman"/>
          <w:sz w:val="24"/>
          <w:szCs w:val="20"/>
        </w:rPr>
        <w:t xml:space="preserve">的连接正常，数据传输正常；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）检查监测仪器的采样入口与采样支路管线结合部之间安装的过滤膜的污染情况，每周更换滤膜，每周检查监测仪器散热风扇污染情况，及时清洗；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）检查站房排风排气装置工作是否正常。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0</w:t>
      </w:r>
      <w:r>
        <w:rPr>
          <w:rFonts w:hint="eastAsia" w:ascii="宋体" w:hAnsi="宋体" w:eastAsia="宋体" w:cs="Times New Roman"/>
          <w:sz w:val="24"/>
          <w:szCs w:val="20"/>
        </w:rPr>
        <w:t xml:space="preserve">）如采用气体发生器，应检查气体发生器的工作状态，及时补充纯水、更换干燥硅胶、活性碳或无水氯化钙。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）检查各种运维工具、系统耗材、备件是否完好齐全。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2</w:t>
      </w:r>
      <w:r>
        <w:rPr>
          <w:rFonts w:hint="eastAsia" w:ascii="宋体" w:hAnsi="宋体" w:eastAsia="宋体" w:cs="Times New Roman"/>
          <w:sz w:val="24"/>
          <w:szCs w:val="20"/>
        </w:rPr>
        <w:t xml:space="preserve">）检查空调、电源等辅助设备的运行状况是否正常，检查站房空调机的过滤网是否清洁，必要时进行清洗。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3</w:t>
      </w:r>
      <w:r>
        <w:rPr>
          <w:rFonts w:hint="eastAsia" w:ascii="宋体" w:hAnsi="宋体" w:eastAsia="宋体" w:cs="Times New Roman"/>
          <w:sz w:val="24"/>
          <w:szCs w:val="20"/>
        </w:rPr>
        <w:t xml:space="preserve">）检查各种消防、安全设施是否完好齐全。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）对站房周围的杂草和积水应及时清除；对采样有影响的树枝应及时进行剪除。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）检查避雷设施是否正常，子站房屋是否有漏雨现象。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w:t>
      </w:r>
      <w:r>
        <w:rPr>
          <w:rFonts w:hint="eastAsia" w:ascii="宋体" w:hAnsi="宋体" w:eastAsia="宋体" w:cs="Times New Roman"/>
          <w:sz w:val="24"/>
          <w:szCs w:val="20"/>
        </w:rPr>
        <w:t xml:space="preserve">）记录巡检情况。</w:t>
      </w:r>
      <w:bookmarkEnd w:id="353"/>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无机类监测因子运维</w:t>
      </w:r>
      <w:bookmarkEnd w:id="351"/>
      <w:r/>
      <w:bookmarkEnd w:id="352"/>
      <w:r/>
      <w:r/>
    </w:p>
    <w:p>
      <w:pPr>
        <w:ind w:firstLine="480"/>
        <w:spacing w:line="440" w:lineRule="exact"/>
        <w:rPr>
          <w:rFonts w:ascii="宋体" w:hAnsi="宋体" w:eastAsia="宋体" w:cs="Times New Roman"/>
          <w:sz w:val="24"/>
          <w:szCs w:val="20"/>
        </w:rPr>
      </w:pPr>
      <w:r/>
      <w:bookmarkStart w:id="354" w:name="_Toc514609361"/>
      <w:r/>
      <w:bookmarkStart w:id="355" w:name="_Toc23248"/>
      <w:r/>
      <w:bookmarkStart w:id="356" w:name="_Toc513977217"/>
      <w:r/>
      <w:bookmarkStart w:id="357" w:name="_Toc30112"/>
      <w:r/>
      <w:bookmarkStart w:id="358" w:name="_Toc514611213"/>
      <w:r>
        <w:rPr>
          <w:rFonts w:hint="eastAsia" w:ascii="宋体" w:hAnsi="宋体" w:eastAsia="宋体" w:cs="Times New Roman"/>
          <w:sz w:val="24"/>
          <w:szCs w:val="20"/>
        </w:rPr>
        <w:t xml:space="preserve">1</w:t>
      </w:r>
      <w:r>
        <w:rPr>
          <w:rFonts w:ascii="宋体" w:hAnsi="宋体" w:eastAsia="宋体" w:cs="Times New Roman"/>
          <w:sz w:val="24"/>
          <w:szCs w:val="20"/>
        </w:rPr>
        <w:t xml:space="preserve">.3.1</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每日工作内容</w:t>
      </w:r>
      <w:bookmarkEnd w:id="354"/>
      <w:r/>
      <w:bookmarkEnd w:id="355"/>
      <w:r/>
      <w:bookmarkEnd w:id="356"/>
      <w:r/>
      <w:bookmarkEnd w:id="357"/>
      <w:r/>
      <w:bookmarkEnd w:id="35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每天上午和下午两次远程查看空气</w:t>
      </w:r>
      <w:r>
        <w:rPr>
          <w:rFonts w:ascii="宋体" w:hAnsi="宋体" w:eastAsia="宋体" w:cs="Times New Roman"/>
          <w:sz w:val="24"/>
          <w:szCs w:val="20"/>
        </w:rPr>
        <w:t xml:space="preserve">站数据</w:t>
      </w:r>
      <w:r>
        <w:rPr>
          <w:rFonts w:ascii="宋体" w:hAnsi="宋体" w:eastAsia="宋体" w:cs="Times New Roman"/>
          <w:sz w:val="24"/>
          <w:szCs w:val="20"/>
        </w:rPr>
        <w:t xml:space="preserve">并形成记录，分析监测数据，对站点运行情况进行远程诊断和运行管理，内容包括：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判断系统数据采集与传输情况；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根据电源电压、站房温度、湿度数据判断站房内部情况；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发现运行数据有持续异常值时，</w:t>
      </w:r>
      <w:r>
        <w:rPr>
          <w:rFonts w:hint="eastAsia" w:ascii="宋体" w:hAnsi="宋体" w:eastAsia="宋体" w:cs="Times New Roman"/>
          <w:sz w:val="24"/>
          <w:szCs w:val="20"/>
        </w:rPr>
        <w:t xml:space="preserve">应立即</w:t>
      </w:r>
      <w:r>
        <w:rPr>
          <w:rFonts w:ascii="宋体" w:hAnsi="宋体" w:eastAsia="宋体" w:cs="Times New Roman"/>
          <w:sz w:val="24"/>
          <w:szCs w:val="20"/>
        </w:rPr>
        <w:t xml:space="preserve">通知采购人</w:t>
      </w:r>
      <w:r>
        <w:rPr>
          <w:rFonts w:hint="eastAsia" w:ascii="宋体" w:hAnsi="宋体" w:eastAsia="宋体" w:cs="Times New Roman"/>
          <w:sz w:val="24"/>
          <w:szCs w:val="20"/>
        </w:rPr>
        <w:t xml:space="preserve">，</w:t>
      </w:r>
      <w:r>
        <w:rPr>
          <w:rFonts w:ascii="宋体" w:hAnsi="宋体" w:eastAsia="宋体" w:cs="Times New Roman"/>
          <w:sz w:val="24"/>
          <w:szCs w:val="20"/>
        </w:rPr>
        <w:t xml:space="preserve">在每日</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时出现的故障，应在</w:t>
      </w:r>
      <w:r>
        <w:rPr>
          <w:rFonts w:hint="eastAsia" w:ascii="宋体" w:hAnsi="宋体" w:eastAsia="宋体" w:cs="Times New Roman"/>
          <w:sz w:val="24"/>
          <w:szCs w:val="20"/>
        </w:rPr>
        <w:t xml:space="preserve">2</w:t>
      </w:r>
      <w:r>
        <w:rPr>
          <w:rFonts w:ascii="宋体" w:hAnsi="宋体" w:eastAsia="宋体" w:cs="Times New Roman"/>
          <w:sz w:val="24"/>
          <w:szCs w:val="20"/>
        </w:rPr>
        <w:t xml:space="preserve">小时内</w:t>
      </w:r>
      <w:r>
        <w:rPr>
          <w:rFonts w:hint="eastAsia" w:ascii="宋体" w:hAnsi="宋体" w:eastAsia="宋体" w:cs="Times New Roman"/>
          <w:sz w:val="24"/>
          <w:szCs w:val="20"/>
        </w:rPr>
        <w:t xml:space="preserve">现场排查，4小时内</w:t>
      </w:r>
      <w:r>
        <w:rPr>
          <w:rFonts w:ascii="宋体" w:hAnsi="宋体" w:eastAsia="宋体" w:cs="Times New Roman"/>
          <w:sz w:val="24"/>
          <w:szCs w:val="20"/>
        </w:rPr>
        <w:t xml:space="preserve">解决</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w:t>
      </w:r>
      <w:r>
        <w:rPr>
          <w:rFonts w:hint="eastAsia" w:ascii="宋体" w:hAnsi="宋体" w:eastAsia="宋体" w:cs="Times New Roman"/>
          <w:sz w:val="24"/>
          <w:szCs w:val="20"/>
        </w:rPr>
        <w:t xml:space="preserve">24</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在次日10时前解决；0</w:t>
      </w:r>
      <w:r>
        <w:rPr>
          <w:rFonts w:ascii="宋体" w:hAnsi="宋体" w:eastAsia="宋体" w:cs="Times New Roman"/>
          <w:sz w:val="24"/>
          <w:szCs w:val="20"/>
        </w:rPr>
        <w:t xml:space="preserve">时～</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在当日10时前解决</w:t>
      </w:r>
      <w:r>
        <w:rPr>
          <w:rFonts w:ascii="宋体" w:hAnsi="宋体" w:eastAsia="宋体" w:cs="Times New Roman"/>
          <w:sz w:val="24"/>
          <w:szCs w:val="20"/>
        </w:rPr>
        <w:t xml:space="preserve">（通信线路、电力线路故障除外，但应及时与相关部门联系积极解决）；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根据仪器分析数据判断仪器运行情况；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根据故障报警信号判断现场状况；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（7）</w:t>
      </w:r>
      <w:r>
        <w:rPr>
          <w:rFonts w:ascii="宋体" w:hAnsi="宋体" w:eastAsia="宋体" w:cs="Times New Roman"/>
          <w:sz w:val="24"/>
          <w:szCs w:val="20"/>
        </w:rPr>
        <w:t xml:space="preserve">每日检查数据是否及时上传至采购人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并正常发布，发现数据掉线及时恢复</w:t>
      </w:r>
      <w:r>
        <w:rPr>
          <w:rFonts w:hint="eastAsia" w:ascii="宋体" w:hAnsi="宋体" w:eastAsia="宋体" w:cs="Times New Roman"/>
          <w:sz w:val="24"/>
          <w:szCs w:val="20"/>
        </w:rPr>
        <w:t xml:space="preserve">。</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bookmarkStart w:id="359" w:name="_Toc513977218"/>
      <w:r/>
      <w:bookmarkStart w:id="360" w:name="_Toc28618"/>
      <w:r/>
      <w:bookmarkStart w:id="361" w:name="_Toc514611214"/>
      <w:r/>
      <w:bookmarkStart w:id="362" w:name="_Toc23858"/>
      <w:r/>
      <w:bookmarkStart w:id="363" w:name="_Toc514609362"/>
      <w:r>
        <w:rPr>
          <w:rFonts w:hint="eastAsia" w:ascii="宋体" w:hAnsi="宋体" w:eastAsia="宋体" w:cs="Times New Roman"/>
          <w:sz w:val="24"/>
          <w:szCs w:val="20"/>
        </w:rPr>
        <w:t xml:space="preserve">1</w:t>
      </w:r>
      <w:r>
        <w:rPr>
          <w:rFonts w:ascii="宋体" w:hAnsi="宋体" w:eastAsia="宋体" w:cs="Times New Roman"/>
          <w:sz w:val="24"/>
          <w:szCs w:val="20"/>
        </w:rPr>
        <w:t xml:space="preserve">.3.2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每周工作内容</w:t>
      </w:r>
      <w:bookmarkEnd w:id="359"/>
      <w:r/>
      <w:bookmarkEnd w:id="360"/>
      <w:r/>
      <w:bookmarkEnd w:id="361"/>
      <w:r/>
      <w:bookmarkEnd w:id="362"/>
      <w:r/>
      <w:bookmarkEnd w:id="36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w:t>
      </w:r>
      <w:r>
        <w:rPr>
          <w:rFonts w:ascii="宋体" w:hAnsi="宋体" w:eastAsia="宋体" w:cs="Times New Roman"/>
          <w:sz w:val="24"/>
          <w:szCs w:val="20"/>
        </w:rPr>
        <w:t xml:space="preserve">检查</w:t>
      </w:r>
      <w:r>
        <w:rPr>
          <w:rFonts w:ascii="宋体" w:hAnsi="宋体" w:eastAsia="宋体" w:cs="Times New Roman"/>
          <w:sz w:val="24"/>
          <w:szCs w:val="20"/>
        </w:rPr>
        <w:t xml:space="preserve">各分析</w:t>
      </w:r>
      <w:r>
        <w:rPr>
          <w:rFonts w:ascii="宋体" w:hAnsi="宋体" w:eastAsia="宋体" w:cs="Times New Roman"/>
          <w:sz w:val="24"/>
          <w:szCs w:val="20"/>
        </w:rPr>
        <w:t xml:space="preserve">仪器的运行状况和工作参数，判断是否正常，如有异常情况及时处理，保证仪器运行正常；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对二氧化硫、一氧化碳、臭氧、氮氧化物分析仪进行零点、跨度检查，如果漂移超过国家相关规范要求，需要进行校准；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每周对气象仪器的运行情况进行检查；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每周对颗粒物的采样纸带或滤膜进行检查，如纸带即将用尽或滤膜负载超过50%，及时进行更换；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对二氧化硫、一氧化碳、臭氧、氮氧化物分析仪进行零点检查，如果漂移超过国家相关规范要求，要进行校准。</w:t>
      </w:r>
      <w:r/>
    </w:p>
    <w:p>
      <w:pPr>
        <w:ind w:firstLine="480"/>
        <w:spacing w:line="440" w:lineRule="exact"/>
        <w:rPr>
          <w:rFonts w:ascii="宋体" w:hAnsi="宋体" w:eastAsia="宋体" w:cs="Times New Roman"/>
          <w:sz w:val="24"/>
          <w:szCs w:val="20"/>
        </w:rPr>
      </w:pPr>
      <w:r/>
      <w:bookmarkStart w:id="364" w:name="_Toc20622"/>
      <w:r/>
      <w:bookmarkStart w:id="365" w:name="_Toc514611215"/>
      <w:r/>
      <w:bookmarkStart w:id="366" w:name="_Toc514609363"/>
      <w:r/>
      <w:bookmarkStart w:id="367" w:name="_Toc6042"/>
      <w:r/>
      <w:bookmarkStart w:id="368" w:name="_Toc513977219"/>
      <w:r>
        <w:rPr>
          <w:rFonts w:hint="eastAsia" w:ascii="宋体" w:hAnsi="宋体" w:eastAsia="宋体" w:cs="Times New Roman"/>
          <w:sz w:val="24"/>
          <w:szCs w:val="20"/>
        </w:rPr>
        <w:t xml:space="preserve">1</w:t>
      </w:r>
      <w:r>
        <w:rPr>
          <w:rFonts w:ascii="宋体" w:hAnsi="宋体" w:eastAsia="宋体" w:cs="Times New Roman"/>
          <w:sz w:val="24"/>
          <w:szCs w:val="20"/>
        </w:rPr>
        <w:t xml:space="preserve">.3.3</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每月工作内容</w:t>
      </w:r>
      <w:bookmarkEnd w:id="364"/>
      <w:r/>
      <w:bookmarkEnd w:id="365"/>
      <w:r/>
      <w:bookmarkEnd w:id="366"/>
      <w:r/>
      <w:bookmarkEnd w:id="367"/>
      <w:r/>
      <w:bookmarkEnd w:id="36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清洗PM10及PM2.5切割器，检查β法颗粒</w:t>
      </w:r>
      <w:r>
        <w:rPr>
          <w:rFonts w:ascii="宋体" w:hAnsi="宋体" w:eastAsia="宋体" w:cs="Times New Roman"/>
          <w:sz w:val="24"/>
          <w:szCs w:val="20"/>
        </w:rPr>
        <w:t xml:space="preserve">物分析</w:t>
      </w:r>
      <w:r>
        <w:rPr>
          <w:rFonts w:ascii="宋体" w:hAnsi="宋体" w:eastAsia="宋体" w:cs="Times New Roman"/>
          <w:sz w:val="24"/>
          <w:szCs w:val="20"/>
        </w:rPr>
        <w:t xml:space="preserve">仪仪器喷嘴、</w:t>
      </w:r>
      <w:r>
        <w:rPr>
          <w:rFonts w:ascii="宋体" w:hAnsi="宋体" w:eastAsia="宋体" w:cs="Times New Roman"/>
          <w:sz w:val="24"/>
          <w:szCs w:val="20"/>
        </w:rPr>
        <w:t xml:space="preserve">压环等</w:t>
      </w:r>
      <w:r>
        <w:rPr>
          <w:rFonts w:ascii="宋体" w:hAnsi="宋体" w:eastAsia="宋体" w:cs="Times New Roman"/>
          <w:sz w:val="24"/>
          <w:szCs w:val="20"/>
        </w:rPr>
        <w:t xml:space="preserve">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检查PM10及PM2.5监测仪、气态分析仪、动态校准仪流量，超过国家相关规范要求，及时进行校准。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对仪器显示数据和数据采集仪之间的一致性进行检查；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每月对数据进行备份。 </w:t>
      </w:r>
      <w:r/>
    </w:p>
    <w:p>
      <w:pPr>
        <w:ind w:firstLine="480"/>
        <w:spacing w:line="440" w:lineRule="exact"/>
        <w:rPr>
          <w:rFonts w:ascii="宋体" w:hAnsi="宋体" w:eastAsia="宋体" w:cs="Times New Roman"/>
          <w:sz w:val="24"/>
          <w:szCs w:val="20"/>
        </w:rPr>
      </w:pPr>
      <w:r/>
      <w:bookmarkStart w:id="369" w:name="_Toc10530"/>
      <w:r/>
      <w:bookmarkStart w:id="370" w:name="_Toc8114"/>
      <w:r/>
      <w:bookmarkStart w:id="371" w:name="_Toc513977220"/>
      <w:r/>
      <w:bookmarkStart w:id="372" w:name="_Toc514609364"/>
      <w:r/>
      <w:bookmarkStart w:id="373" w:name="_Toc514611216"/>
      <w:r>
        <w:rPr>
          <w:rFonts w:hint="eastAsia" w:ascii="宋体" w:hAnsi="宋体" w:eastAsia="宋体" w:cs="Times New Roman"/>
          <w:sz w:val="24"/>
          <w:szCs w:val="20"/>
        </w:rPr>
        <w:t xml:space="preserve">1</w:t>
      </w:r>
      <w:r>
        <w:rPr>
          <w:rFonts w:ascii="宋体" w:hAnsi="宋体" w:eastAsia="宋体" w:cs="Times New Roman"/>
          <w:sz w:val="24"/>
          <w:szCs w:val="20"/>
        </w:rPr>
        <w:t xml:space="preserve">.3.4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每两个月工作内容</w:t>
      </w:r>
      <w:bookmarkEnd w:id="369"/>
      <w:r/>
      <w:bookmarkEnd w:id="370"/>
      <w:r/>
      <w:bookmarkEnd w:id="371"/>
      <w:r/>
      <w:bookmarkEnd w:id="372"/>
      <w:r/>
      <w:bookmarkEnd w:id="37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更换PM10、PM2.5分析仪滤纸带（必要时），进行系统自检；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校准和检查PM10及PM2.5分析仪的温度、气压和时钟；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用标准气压计、温度计、湿度计、手持式风速风向仪，校准相关的自动仪器； </w:t>
      </w:r>
      <w:r/>
    </w:p>
    <w:p>
      <w:pPr>
        <w:ind w:firstLine="480"/>
        <w:spacing w:line="440" w:lineRule="exact"/>
        <w:rPr>
          <w:rFonts w:ascii="宋体" w:hAnsi="宋体" w:eastAsia="宋体" w:cs="Times New Roman"/>
          <w:sz w:val="24"/>
          <w:szCs w:val="20"/>
        </w:rPr>
      </w:pPr>
      <w:r/>
      <w:bookmarkStart w:id="374" w:name="_Toc390"/>
      <w:r/>
      <w:bookmarkStart w:id="375" w:name="_Toc514611217"/>
      <w:r/>
      <w:bookmarkStart w:id="376" w:name="_Toc513977221"/>
      <w:r/>
      <w:bookmarkStart w:id="377" w:name="_Toc24799"/>
      <w:r/>
      <w:bookmarkStart w:id="378" w:name="_Toc514609365"/>
      <w:r>
        <w:rPr>
          <w:rFonts w:hint="eastAsia" w:ascii="宋体" w:hAnsi="宋体" w:eastAsia="宋体" w:cs="Times New Roman"/>
          <w:sz w:val="24"/>
          <w:szCs w:val="20"/>
        </w:rPr>
        <w:t xml:space="preserve">1</w:t>
      </w:r>
      <w:r>
        <w:rPr>
          <w:rFonts w:ascii="宋体" w:hAnsi="宋体" w:eastAsia="宋体" w:cs="Times New Roman"/>
          <w:sz w:val="24"/>
          <w:szCs w:val="20"/>
        </w:rPr>
        <w:t xml:space="preserve">.3.5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每季度工作内容</w:t>
      </w:r>
      <w:bookmarkEnd w:id="374"/>
      <w:r/>
      <w:bookmarkEnd w:id="375"/>
      <w:r/>
      <w:bookmarkEnd w:id="376"/>
      <w:r/>
      <w:bookmarkEnd w:id="377"/>
      <w:r/>
      <w:bookmarkEnd w:id="37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采样总管及采样风机每季度至少清洗一次；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对PM10和PM2.5监测仪器进行标准膜校准或K0值检查，超过国家相关规范要求时，及时进行校准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对每台设备的精密度进行审核。</w:t>
      </w:r>
      <w:r/>
    </w:p>
    <w:p>
      <w:pPr>
        <w:ind w:firstLine="480"/>
        <w:spacing w:line="440" w:lineRule="exact"/>
        <w:rPr>
          <w:rFonts w:ascii="宋体" w:hAnsi="宋体" w:eastAsia="宋体" w:cs="Times New Roman"/>
          <w:sz w:val="24"/>
          <w:szCs w:val="20"/>
        </w:rPr>
      </w:pPr>
      <w:r/>
      <w:bookmarkStart w:id="379" w:name="_Toc514611218"/>
      <w:r/>
      <w:bookmarkStart w:id="380" w:name="_Toc10475"/>
      <w:r/>
      <w:bookmarkStart w:id="381" w:name="_Toc17314"/>
      <w:r/>
      <w:bookmarkStart w:id="382" w:name="_Toc513977222"/>
      <w:r/>
      <w:bookmarkStart w:id="383" w:name="_Toc514609366"/>
      <w:r>
        <w:rPr>
          <w:rFonts w:hint="eastAsia" w:ascii="宋体" w:hAnsi="宋体" w:eastAsia="宋体" w:cs="Times New Roman"/>
          <w:sz w:val="24"/>
          <w:szCs w:val="20"/>
        </w:rPr>
        <w:t xml:space="preserve">1</w:t>
      </w:r>
      <w:r>
        <w:rPr>
          <w:rFonts w:ascii="宋体" w:hAnsi="宋体" w:eastAsia="宋体" w:cs="Times New Roman"/>
          <w:sz w:val="24"/>
          <w:szCs w:val="20"/>
        </w:rPr>
        <w:t xml:space="preserve">.3.6</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每半年工作内容</w:t>
      </w:r>
      <w:bookmarkEnd w:id="379"/>
      <w:r/>
      <w:bookmarkEnd w:id="380"/>
      <w:r/>
      <w:bookmarkEnd w:id="381"/>
      <w:r/>
      <w:bookmarkEnd w:id="382"/>
      <w:r/>
      <w:bookmarkEnd w:id="38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检查PM2.5、PM10分析仪相对湿度、温度传感器和动态加热装置是否正常工作；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对气态污染物监测仪进行多点校准，绘制校准曲线，检验相关系数、斜率和截距；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采用臭氧传递标准对空气站臭氧工作标准进行标准传递，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更换零气源净化剂和氧化剂，对零气性能进行检查；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对氮氧化物</w:t>
      </w:r>
      <w:r>
        <w:rPr>
          <w:rFonts w:ascii="宋体" w:hAnsi="宋体" w:eastAsia="宋体" w:cs="Times New Roman"/>
          <w:sz w:val="24"/>
          <w:szCs w:val="20"/>
        </w:rPr>
        <w:t xml:space="preserve">分析仪</w:t>
      </w:r>
      <w:r>
        <w:rPr>
          <w:rFonts w:ascii="宋体" w:hAnsi="宋体" w:eastAsia="宋体" w:cs="Times New Roman"/>
          <w:sz w:val="24"/>
          <w:szCs w:val="20"/>
        </w:rPr>
        <w:t xml:space="preserve">钼</w:t>
      </w:r>
      <w:r>
        <w:rPr>
          <w:rFonts w:ascii="宋体" w:hAnsi="宋体" w:eastAsia="宋体" w:cs="Times New Roman"/>
          <w:sz w:val="24"/>
          <w:szCs w:val="20"/>
        </w:rPr>
        <w:t xml:space="preserve">炉转化率进行检查。 </w:t>
      </w:r>
      <w:r/>
    </w:p>
    <w:p>
      <w:pPr>
        <w:ind w:firstLine="480"/>
        <w:spacing w:line="440" w:lineRule="exact"/>
        <w:rPr>
          <w:rFonts w:ascii="宋体" w:hAnsi="宋体" w:eastAsia="宋体" w:cs="Times New Roman"/>
          <w:sz w:val="24"/>
          <w:szCs w:val="20"/>
        </w:rPr>
      </w:pPr>
      <w:r/>
      <w:bookmarkStart w:id="384" w:name="_Toc1201"/>
      <w:r/>
      <w:bookmarkStart w:id="385" w:name="_Toc514609367"/>
      <w:r/>
      <w:bookmarkStart w:id="386" w:name="_Toc514611219"/>
      <w:r/>
      <w:bookmarkStart w:id="387" w:name="_Toc513977223"/>
      <w:r/>
      <w:bookmarkStart w:id="388" w:name="_Toc10219"/>
      <w:r>
        <w:rPr>
          <w:rFonts w:hint="eastAsia" w:ascii="宋体" w:hAnsi="宋体" w:eastAsia="宋体" w:cs="Times New Roman"/>
          <w:sz w:val="24"/>
          <w:szCs w:val="20"/>
        </w:rPr>
        <w:t xml:space="preserve">1</w:t>
      </w:r>
      <w:r>
        <w:rPr>
          <w:rFonts w:ascii="宋体" w:hAnsi="宋体" w:eastAsia="宋体" w:cs="Times New Roman"/>
          <w:sz w:val="24"/>
          <w:szCs w:val="20"/>
        </w:rPr>
        <w:t xml:space="preserve">.3.7</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每年工作内容</w:t>
      </w:r>
      <w:bookmarkEnd w:id="384"/>
      <w:r/>
      <w:bookmarkEnd w:id="385"/>
      <w:r/>
      <w:bookmarkEnd w:id="386"/>
      <w:r/>
      <w:bookmarkEnd w:id="387"/>
      <w:r/>
      <w:bookmarkEnd w:id="38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对所有的仪器进行预防性维护，按说明书的要求更换备件，更换所有泵组件。</w:t>
      </w:r>
      <w:r>
        <w:rPr>
          <w:rFonts w:hint="eastAsia" w:ascii="宋体" w:hAnsi="宋体" w:eastAsia="宋体" w:cs="Times New Roman"/>
          <w:sz w:val="24"/>
          <w:szCs w:val="20"/>
        </w:rPr>
        <w:t xml:space="preserve">审核每台</w:t>
      </w:r>
      <w:r>
        <w:rPr>
          <w:rFonts w:ascii="宋体" w:hAnsi="宋体" w:eastAsia="宋体" w:cs="Times New Roman"/>
          <w:sz w:val="24"/>
          <w:szCs w:val="20"/>
        </w:rPr>
        <w:t xml:space="preserve">监测设备的准确度</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bookmarkStart w:id="389" w:name="_Toc3666"/>
      <w:r/>
      <w:bookmarkStart w:id="390" w:name="_Toc29555"/>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 高沸点有毒有害气体分析仪、低沸点有毒有害气体</w:t>
      </w:r>
      <w:r>
        <w:rPr>
          <w:rFonts w:hint="eastAsia" w:ascii="宋体" w:hAnsi="宋体" w:eastAsia="宋体" w:cs="Times New Roman"/>
          <w:sz w:val="24"/>
          <w:szCs w:val="20"/>
        </w:rPr>
        <w:t xml:space="preserve">分析仪运维</w:t>
      </w:r>
      <w:r>
        <w:rPr>
          <w:rFonts w:hint="eastAsia" w:ascii="宋体" w:hAnsi="宋体" w:eastAsia="宋体" w:cs="Times New Roman"/>
          <w:sz w:val="24"/>
          <w:szCs w:val="20"/>
        </w:rPr>
        <w:t xml:space="preserve">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bookmarkStart w:id="391" w:name="_Hlk150246302"/>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每日检查系统状态是否有报警等异常提示，检查富集管与分析模块温度、气压、流量、电压等参数是否正常；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每日检查所标定的色谱峰</w:t>
      </w:r>
      <w:r>
        <w:rPr>
          <w:rFonts w:hint="eastAsia" w:ascii="宋体" w:hAnsi="宋体" w:eastAsia="宋体" w:cs="Times New Roman"/>
          <w:sz w:val="24"/>
          <w:szCs w:val="20"/>
        </w:rPr>
        <w:t xml:space="preserve">峰窗是否</w:t>
      </w:r>
      <w:r>
        <w:rPr>
          <w:rFonts w:hint="eastAsia" w:ascii="宋体" w:hAnsi="宋体" w:eastAsia="宋体" w:cs="Times New Roman"/>
          <w:sz w:val="24"/>
          <w:szCs w:val="20"/>
        </w:rPr>
        <w:t xml:space="preserve">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每日检查采样曲线，程序升温曲线，预浓缩管温度曲线是否正常。</w:t>
      </w:r>
      <w:bookmarkEnd w:id="391"/>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每周检查富集管吸附温度、脱附温度、采样流量、脱附流量、采样时间是否正常；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周记录</w:t>
      </w:r>
      <w:r>
        <w:rPr>
          <w:rFonts w:hint="eastAsia" w:ascii="宋体" w:hAnsi="宋体" w:eastAsia="宋体" w:cs="Times New Roman"/>
          <w:sz w:val="24"/>
          <w:szCs w:val="20"/>
        </w:rPr>
        <w:t xml:space="preserve">一次色谱条件，包括氮气压力、</w:t>
      </w:r>
      <w:r>
        <w:rPr>
          <w:rFonts w:hint="eastAsia" w:ascii="宋体" w:hAnsi="宋体" w:eastAsia="宋体" w:cs="Times New Roman"/>
          <w:sz w:val="24"/>
          <w:szCs w:val="20"/>
        </w:rPr>
        <w:t xml:space="preserve">柱箱温度</w:t>
      </w:r>
      <w:r>
        <w:rPr>
          <w:rFonts w:hint="eastAsia" w:ascii="宋体" w:hAnsi="宋体" w:eastAsia="宋体" w:cs="Times New Roman"/>
          <w:sz w:val="24"/>
          <w:szCs w:val="20"/>
        </w:rPr>
        <w:t xml:space="preserve">、检测器温度、采样压力等；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周针对</w:t>
      </w:r>
      <w:r>
        <w:rPr>
          <w:rFonts w:hint="eastAsia" w:ascii="宋体" w:hAnsi="宋体" w:eastAsia="宋体" w:cs="Times New Roman"/>
          <w:sz w:val="24"/>
          <w:szCs w:val="20"/>
        </w:rPr>
        <w:t xml:space="preserve">设备进行一次全系统空白检查；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周针对</w:t>
      </w:r>
      <w:r>
        <w:rPr>
          <w:rFonts w:hint="eastAsia" w:ascii="宋体" w:hAnsi="宋体" w:eastAsia="宋体" w:cs="Times New Roman"/>
          <w:sz w:val="24"/>
          <w:szCs w:val="20"/>
        </w:rPr>
        <w:t xml:space="preserve">设备进行一次单点质控，针对准确度、合格率、保留时间漂移、分离度四个指标进行评价，所有单点检查准确度不合格的目标化合物，应对其进行明确标识；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每月对采样流量进行检查，采样流量示值与标准流量计示值相对偏差应≤±5</w:t>
      </w:r>
      <w:r>
        <w:rPr>
          <w:rFonts w:ascii="宋体" w:hAnsi="宋体" w:eastAsia="宋体" w:cs="Times New Roman"/>
          <w:sz w:val="24"/>
          <w:szCs w:val="20"/>
        </w:rPr>
        <w:t xml:space="preserve">%</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每2个月更换一次灰尘滤膜，并氮气吹扫采样气路；</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若</w:t>
      </w:r>
      <w:r>
        <w:rPr>
          <w:rFonts w:ascii="宋体" w:hAnsi="宋体" w:eastAsia="宋体" w:cs="Times New Roman"/>
          <w:sz w:val="24"/>
          <w:szCs w:val="20"/>
        </w:rPr>
        <w:t xml:space="preserve">更换预浓缩管，步进进样器，检测器，色谱柱，MFC等关键部件，则需做5点</w:t>
      </w:r>
      <w:r>
        <w:rPr>
          <w:rFonts w:hint="eastAsia" w:ascii="宋体" w:hAnsi="宋体" w:eastAsia="宋体" w:cs="Times New Roman"/>
          <w:sz w:val="24"/>
          <w:szCs w:val="20"/>
        </w:rPr>
        <w:t xml:space="preserve">标准曲线</w:t>
      </w:r>
      <w:r>
        <w:rPr>
          <w:rFonts w:ascii="宋体" w:hAnsi="宋体" w:eastAsia="宋体" w:cs="Times New Roman"/>
          <w:sz w:val="24"/>
          <w:szCs w:val="20"/>
        </w:rPr>
        <w:t xml:space="preserve">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每季度应针对设备进行至少一次标准曲线绘制，至少包含5个浓度点，标准曲线绘制前应进行零气空白检查，合格后进行标准曲线绘制；</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每季度应针对设备进行</w:t>
      </w:r>
      <w:r>
        <w:rPr>
          <w:rFonts w:hint="eastAsia" w:ascii="宋体" w:hAnsi="宋体" w:eastAsia="宋体" w:cs="Times New Roman"/>
          <w:sz w:val="24"/>
          <w:szCs w:val="20"/>
        </w:rPr>
        <w:t xml:space="preserve">验</w:t>
      </w:r>
      <w:r>
        <w:rPr>
          <w:rFonts w:hint="eastAsia" w:ascii="宋体" w:hAnsi="宋体" w:eastAsia="宋体" w:cs="Times New Roman"/>
          <w:sz w:val="24"/>
          <w:szCs w:val="20"/>
        </w:rPr>
        <w:t xml:space="preserve">漏检查；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每季度对富集管、气相色谱、检测器的温度、压力传感器进行检查；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每年对系统展开预防性维护，对关键零部件进行拆卸清洁和保养，预防性维护后系统应进行全面质控检查；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每年对检测器进行清洁，并做单点校准；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每年清洗十通阀、</w:t>
      </w:r>
      <w:r>
        <w:rPr>
          <w:rFonts w:hint="eastAsia" w:ascii="宋体" w:hAnsi="宋体" w:eastAsia="宋体" w:cs="Times New Roman"/>
          <w:sz w:val="24"/>
          <w:szCs w:val="20"/>
        </w:rPr>
        <w:t xml:space="preserve">横隔膜</w:t>
      </w:r>
      <w:r>
        <w:rPr>
          <w:rFonts w:hint="eastAsia" w:ascii="宋体" w:hAnsi="宋体" w:eastAsia="宋体" w:cs="Times New Roman"/>
          <w:sz w:val="24"/>
          <w:szCs w:val="20"/>
        </w:rPr>
        <w:t xml:space="preserve">、检测器，并做5点校准；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定期更换吸附管或捕集柱、阀膜、色谱柱、质谱离子源等重要耗材；</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及时清洁气动阀阀芯、散热风扇、火焰离子化检测器，对检测器进行清理维护、维修后，应重新建立标准曲线；</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hint="eastAsia" w:ascii="宋体" w:hAnsi="宋体" w:eastAsia="宋体" w:cs="Times New Roman"/>
          <w:sz w:val="24"/>
          <w:szCs w:val="20"/>
        </w:rPr>
        <w:t xml:space="preserve">如运行</w:t>
      </w:r>
      <w:r>
        <w:rPr>
          <w:rFonts w:hint="eastAsia" w:ascii="宋体" w:hAnsi="宋体" w:eastAsia="宋体" w:cs="Times New Roman"/>
          <w:sz w:val="24"/>
          <w:szCs w:val="20"/>
        </w:rPr>
        <w:t xml:space="preserve">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 甲烷非甲烷总烃分析系统运维内容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w:t>
      </w:r>
      <w:r>
        <w:rPr>
          <w:rFonts w:hint="eastAsia" w:ascii="宋体" w:hAnsi="宋体" w:eastAsia="宋体" w:cs="Times New Roman"/>
          <w:sz w:val="24"/>
          <w:szCs w:val="20"/>
        </w:rPr>
        <w:t xml:space="preserve">柱箱温度</w:t>
      </w:r>
      <w:r>
        <w:rPr>
          <w:rFonts w:hint="eastAsia" w:ascii="宋体" w:hAnsi="宋体" w:eastAsia="宋体" w:cs="Times New Roman"/>
          <w:sz w:val="24"/>
          <w:szCs w:val="20"/>
        </w:rPr>
        <w:t xml:space="preserve">、柱前压、保留时间等重要参数是否正常；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每日检查检查仪器保留时间漂移情况，以确保非甲烷总烃测量的准确性；</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每天检查采样曲线，程序升温曲线是否正常；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周完成</w:t>
      </w:r>
      <w:r>
        <w:rPr>
          <w:rFonts w:hint="eastAsia" w:ascii="宋体" w:hAnsi="宋体" w:eastAsia="宋体" w:cs="Times New Roman"/>
          <w:sz w:val="24"/>
          <w:szCs w:val="20"/>
        </w:rPr>
        <w:t xml:space="preserve">点检并做好记录，包括氢气发生器、载气和零空气供应情况以及主要性能指标检查，并做好定量保留时间范围校准记录；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每周开展空白检查，若甲烷和非甲烷总烃测定浓度大于方法检出限，应重新校准；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每周开展标点（甲烷 2000 ppb 和丙烷500 ppbC）检查，若定量误差超出±10%，应重新校准。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每月至少进行一次采样流量检查，当误差超过±10%，应对仪器流量进行校准。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每季度针对分析系统进行一次五点（不包括零点）标准曲线校准；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每年应至少进行一次监测仪器的系统保养，对采样管路、仪器内部进样管路和检测器进行清洗等；更换必要的耗材与配件，保养及维修后，应进行多点校准、稳定性、准确性和检出限等测定；</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根据采样泵及</w:t>
      </w:r>
      <w:r>
        <w:rPr>
          <w:rFonts w:hint="eastAsia" w:ascii="宋体" w:hAnsi="宋体" w:eastAsia="宋体" w:cs="Times New Roman"/>
          <w:sz w:val="24"/>
          <w:szCs w:val="20"/>
        </w:rPr>
        <w:t xml:space="preserve">泵膜状态</w:t>
      </w:r>
      <w:r>
        <w:rPr>
          <w:rFonts w:hint="eastAsia" w:ascii="宋体" w:hAnsi="宋体" w:eastAsia="宋体" w:cs="Times New Roman"/>
          <w:sz w:val="24"/>
          <w:szCs w:val="20"/>
        </w:rPr>
        <w:t xml:space="preserve">按需进行更换或保养；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定期更换阀膜、色谱柱等重要耗材。做好周期性维护，及时清洁气动阀阀芯、散热风扇、氢火焰离子化检测器等重要部件。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hint="eastAsia" w:ascii="宋体" w:hAnsi="宋体" w:eastAsia="宋体" w:cs="Times New Roman"/>
          <w:sz w:val="24"/>
          <w:szCs w:val="20"/>
        </w:rPr>
        <w:t xml:space="preserve">如运行</w:t>
      </w:r>
      <w:r>
        <w:rPr>
          <w:rFonts w:hint="eastAsia" w:ascii="宋体" w:hAnsi="宋体" w:eastAsia="宋体" w:cs="Times New Roman"/>
          <w:sz w:val="24"/>
          <w:szCs w:val="20"/>
        </w:rPr>
        <w:t xml:space="preserve">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 辅助设备运维内容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每天检查UPS，稳压器是否正常；每天检查仪器</w:t>
      </w:r>
      <w:r>
        <w:rPr>
          <w:rFonts w:hint="eastAsia" w:ascii="宋体" w:hAnsi="宋体" w:eastAsia="宋体" w:cs="Times New Roman"/>
          <w:sz w:val="24"/>
          <w:szCs w:val="20"/>
        </w:rPr>
        <w:t xml:space="preserve">接入总</w:t>
      </w:r>
      <w:r>
        <w:rPr>
          <w:rFonts w:hint="eastAsia" w:ascii="宋体" w:hAnsi="宋体" w:eastAsia="宋体" w:cs="Times New Roman"/>
          <w:sz w:val="24"/>
          <w:szCs w:val="20"/>
        </w:rPr>
        <w:t xml:space="preserve">电源接线是否过热；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每日检查氮气发生器工作是否正常，产气压力是否有下降变化；</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每日检查工控机运行是否正常；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每日检查服务器运行是否正常；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每日接收、审核数据1次（上午10:00前）并做好记录，</w:t>
      </w:r>
      <w:r>
        <w:rPr>
          <w:rFonts w:ascii="宋体" w:hAnsi="宋体" w:eastAsia="宋体" w:cs="Times New Roman"/>
          <w:sz w:val="24"/>
          <w:szCs w:val="20"/>
        </w:rPr>
        <w:t xml:space="preserve">及时发现异常数据，并按故障响应中的时限要求处理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）每周到场巡检，并记录站房室内温度，湿度；</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）每周要检查防盗门窗是否关好，防盗门锁正常；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）每周检查空调内外机、室外屋顶各采样管防风固定</w:t>
      </w:r>
      <w:r>
        <w:rPr>
          <w:rFonts w:hint="eastAsia" w:ascii="宋体" w:hAnsi="宋体" w:eastAsia="宋体" w:cs="Times New Roman"/>
          <w:sz w:val="24"/>
          <w:szCs w:val="20"/>
        </w:rPr>
        <w:t xml:space="preserve">绳</w:t>
      </w:r>
      <w:r>
        <w:rPr>
          <w:rFonts w:hint="eastAsia" w:ascii="宋体" w:hAnsi="宋体" w:eastAsia="宋体" w:cs="Times New Roman"/>
          <w:sz w:val="24"/>
          <w:szCs w:val="20"/>
        </w:rPr>
        <w:t xml:space="preserve">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）每周检查室内外屋顶是否有渗漏；</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w:t>
      </w:r>
      <w:r>
        <w:rPr>
          <w:rFonts w:hint="eastAsia" w:ascii="宋体" w:hAnsi="宋体" w:eastAsia="宋体" w:cs="Times New Roman"/>
          <w:sz w:val="24"/>
          <w:szCs w:val="20"/>
        </w:rPr>
        <w:t xml:space="preserve">周记录</w:t>
      </w:r>
      <w:r>
        <w:rPr>
          <w:rFonts w:hint="eastAsia" w:ascii="宋体" w:hAnsi="宋体" w:eastAsia="宋体" w:cs="Times New Roman"/>
          <w:sz w:val="24"/>
          <w:szCs w:val="20"/>
        </w:rPr>
        <w:t xml:space="preserve">一次有机及无机动态校准仪显示状态参数；</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）每周对氢气发生器进行电解水补充，以加到水箱3/4为宜；</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）每周检查采样管加热带，温度控制器是否正常；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）每周检查采样风机是否工作正常；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）每周检查采样管固定座处是否有渗漏痕迹；</w:t>
      </w:r>
      <w:r/>
    </w:p>
    <w:p>
      <w:pPr>
        <w:numPr>
          <w:ilvl w:val="0"/>
          <w:numId w:val="6"/>
        </w:numPr>
        <w:spacing w:line="440" w:lineRule="exact"/>
        <w:rPr>
          <w:rFonts w:ascii="宋体" w:hAnsi="宋体" w:eastAsia="宋体" w:cs="Times New Roman"/>
          <w:sz w:val="24"/>
          <w:szCs w:val="21"/>
        </w:rPr>
      </w:pPr>
      <w:r>
        <w:rPr>
          <w:rFonts w:hint="eastAsia" w:ascii="宋体" w:hAnsi="宋体" w:eastAsia="宋体" w:cs="Times New Roman"/>
          <w:sz w:val="24"/>
          <w:szCs w:val="21"/>
        </w:rPr>
        <w:t xml:space="preserve">每周检查采样管多路支管与</w:t>
      </w:r>
      <w:r>
        <w:rPr>
          <w:rFonts w:hint="eastAsia" w:ascii="宋体" w:hAnsi="宋体" w:eastAsia="宋体" w:cs="Times New Roman"/>
          <w:sz w:val="24"/>
          <w:szCs w:val="21"/>
        </w:rPr>
        <w:t xml:space="preserve">各分析仪直接</w:t>
      </w:r>
      <w:r>
        <w:rPr>
          <w:rFonts w:hint="eastAsia" w:ascii="宋体" w:hAnsi="宋体" w:eastAsia="宋体" w:cs="Times New Roman"/>
          <w:sz w:val="24"/>
          <w:szCs w:val="21"/>
        </w:rPr>
        <w:t xml:space="preserve">的连接支管是否结露；</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.6.3</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）每季度对有机及无机动态校准</w:t>
      </w:r>
      <w:r>
        <w:rPr>
          <w:rFonts w:hint="eastAsia" w:ascii="宋体" w:hAnsi="宋体" w:eastAsia="宋体" w:cs="Times New Roman"/>
          <w:sz w:val="24"/>
          <w:szCs w:val="20"/>
        </w:rPr>
        <w:t xml:space="preserve">仪内部</w:t>
      </w:r>
      <w:r>
        <w:rPr>
          <w:rFonts w:hint="eastAsia" w:ascii="宋体" w:hAnsi="宋体" w:eastAsia="宋体" w:cs="Times New Roman"/>
          <w:sz w:val="24"/>
          <w:szCs w:val="20"/>
        </w:rPr>
        <w:t xml:space="preserve">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）每季度对有机及无机零气发生器内部相关部件外部灰尘吹扫除尘；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）每季度对工控</w:t>
      </w:r>
      <w:r>
        <w:rPr>
          <w:rFonts w:hint="eastAsia" w:ascii="宋体" w:hAnsi="宋体" w:eastAsia="宋体" w:cs="Times New Roman"/>
          <w:sz w:val="24"/>
          <w:szCs w:val="20"/>
        </w:rPr>
        <w:t xml:space="preserve">机相关</w:t>
      </w:r>
      <w:r>
        <w:rPr>
          <w:rFonts w:hint="eastAsia" w:ascii="宋体" w:hAnsi="宋体" w:eastAsia="宋体" w:cs="Times New Roman"/>
          <w:sz w:val="24"/>
          <w:szCs w:val="20"/>
        </w:rPr>
        <w:t xml:space="preserve">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）每季度使用标准流量计对有机及无机动态校准仪进行 1 次单点检查质量流量控制器，流量误差应≤1%，否则应及时进行校准；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）每半年更换有机及无机零气发生器活性炭、氧化剂各一次，对零气性能进行检查；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）每半年清洗一次采样头，内衬管和多路支管；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.6.4</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）每年对有机及无机动态校准仪流量进行1次多点线性检查和校准；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（2）每年对有机及无机动态校准仪压力传感器进行1次检查和校准；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.6.5</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）校准前气路系统检漏，校准完后钢瓶总阀关闭，减压阀关闭；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）在进行仪器的各种校准或维护时，应及时关闭该仪器的数据采集通道至监测数据有效；</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）仪器故障引发的无效数据，规定响应时间内的删除量不予统计；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w:t>
      </w:r>
      <w:r>
        <w:rPr>
          <w:rFonts w:hint="eastAsia" w:ascii="宋体" w:hAnsi="宋体" w:eastAsia="宋体" w:cs="Times New Roman"/>
          <w:sz w:val="24"/>
          <w:szCs w:val="20"/>
        </w:rPr>
        <w:t xml:space="preserve">各污染</w:t>
      </w:r>
      <w:r>
        <w:rPr>
          <w:rFonts w:hint="eastAsia" w:ascii="宋体" w:hAnsi="宋体" w:eastAsia="宋体" w:cs="Times New Roman"/>
          <w:sz w:val="24"/>
          <w:szCs w:val="20"/>
        </w:rPr>
        <w:t xml:space="preserve">参数的月有效监测天数必须大于21天；</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.微型空气站运维</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2.1</w:t>
      </w:r>
      <w:r>
        <w:rPr>
          <w:rFonts w:hint="eastAsia" w:ascii="宋体" w:hAnsi="宋体" w:eastAsia="宋体" w:cs="Times New Roman"/>
          <w:sz w:val="24"/>
          <w:szCs w:val="20"/>
        </w:rPr>
        <w:t xml:space="preserve"> 周监控：每周检查设备在线率、报警情况、运行维护计划等至少1次；每</w:t>
      </w:r>
      <w:r>
        <w:rPr>
          <w:rFonts w:hint="eastAsia" w:ascii="宋体" w:hAnsi="宋体" w:eastAsia="宋体" w:cs="Times New Roman"/>
          <w:sz w:val="24"/>
          <w:szCs w:val="20"/>
        </w:rPr>
        <w:t xml:space="preserve">周及时</w:t>
      </w:r>
      <w:r>
        <w:rPr>
          <w:rFonts w:hint="eastAsia" w:ascii="宋体" w:hAnsi="宋体" w:eastAsia="宋体" w:cs="Times New Roman"/>
          <w:sz w:val="24"/>
          <w:szCs w:val="20"/>
        </w:rPr>
        <w:t xml:space="preserve">检查站点电、网络等情况，保证系统仪器具有良好的运行环境；设计表格及时做好记录等。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2.2</w:t>
      </w:r>
      <w:r>
        <w:rPr>
          <w:rFonts w:hint="eastAsia" w:ascii="宋体" w:hAnsi="宋体" w:eastAsia="宋体" w:cs="Times New Roman"/>
          <w:sz w:val="24"/>
          <w:szCs w:val="20"/>
        </w:rPr>
        <w:t xml:space="preserve"> 月巡检：每月远程巡检设备运行状况至少1次，具体内容包括设备运行状态、异常率、运行负荷、质控合格情况等，远程巡检如设备状态异常需现场检查仪器等。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2.3</w:t>
      </w:r>
      <w:r>
        <w:rPr>
          <w:rFonts w:hint="eastAsia" w:ascii="宋体" w:hAnsi="宋体" w:eastAsia="宋体" w:cs="Times New Roman"/>
          <w:sz w:val="24"/>
          <w:szCs w:val="20"/>
        </w:rPr>
        <w:t xml:space="preserve"> 季度检查：每季度抽取不少于总数25%的站点进行现场检查，检查内容包括质量浓度准确性、平行性、设备状况、周边环境、设备运行状况等。安装气象传感器的站点，应使用标准温湿度气压计、手持式风向风速仪进行比对校准。如果季度抽查不合格比例超过20%，应及时更换不合格产品并将季度检查频次缩短为月度检查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2.4</w:t>
      </w:r>
      <w:r>
        <w:rPr>
          <w:rFonts w:hint="eastAsia" w:ascii="宋体" w:hAnsi="宋体" w:eastAsia="宋体" w:cs="Times New Roman"/>
          <w:sz w:val="24"/>
          <w:szCs w:val="20"/>
        </w:rPr>
        <w:t xml:space="preserve"> 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2.5</w:t>
      </w:r>
      <w:r>
        <w:rPr>
          <w:rFonts w:hint="eastAsia" w:ascii="宋体" w:hAnsi="宋体" w:eastAsia="宋体" w:cs="Times New Roman"/>
          <w:sz w:val="24"/>
          <w:szCs w:val="20"/>
        </w:rPr>
        <w:t xml:space="preserve"> 负责针对原始数据的审核：统一按照江苏省生态环境厅要求，每日在“江苏省工业园区污染物排放限值限量系统”中进行数据审核，审核站点包括东张空气自动站、吴市空气自动站、港区空气自动站（设备由常熟生态环境局负责运维）、36个空气微站。</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2.6</w:t>
      </w:r>
      <w:r>
        <w:rPr>
          <w:rFonts w:hint="eastAsia" w:ascii="宋体" w:hAnsi="宋体" w:eastAsia="宋体" w:cs="Times New Roman"/>
          <w:sz w:val="24"/>
          <w:szCs w:val="20"/>
        </w:rPr>
        <w:t xml:space="preserve"> 数据有效性要求：监测仪器应全年365天（闰年366天）连续运行，仪器校准、停电和设备故障，以及其他不可抗拒的因素导致不能获得连续监测数据时，应采取有效措施及时恢复。</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量值溯源</w:t>
      </w:r>
      <w:bookmarkEnd w:id="389"/>
      <w:r/>
      <w:bookmarkEnd w:id="390"/>
      <w:r/>
      <w:r/>
    </w:p>
    <w:p>
      <w:pPr>
        <w:ind w:firstLine="480"/>
        <w:spacing w:line="440" w:lineRule="exact"/>
        <w:rPr>
          <w:rFonts w:ascii="宋体" w:hAnsi="宋体" w:eastAsia="宋体" w:cs="Times New Roman"/>
          <w:sz w:val="24"/>
          <w:szCs w:val="24"/>
        </w:rPr>
      </w:pPr>
      <w:r/>
      <w:bookmarkStart w:id="392" w:name="_Toc7326"/>
      <w:r/>
      <w:bookmarkStart w:id="393" w:name="_Toc298"/>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 标准气体</w:t>
      </w:r>
      <w:bookmarkEnd w:id="392"/>
      <w:r/>
      <w:bookmarkEnd w:id="393"/>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使用可溯源性的标准气体对系统进行校准，国产标准气体推荐使用国家标准物质（</w:t>
      </w:r>
      <w:r>
        <w:rPr>
          <w:rFonts w:ascii="宋体" w:hAnsi="宋体" w:eastAsia="宋体" w:cs="Times New Roman"/>
          <w:sz w:val="24"/>
          <w:szCs w:val="20"/>
        </w:rPr>
        <w:t xml:space="preserve">GBW和GBW-E）、国家标准样品（GSB），进口标准气体能溯源至国际权威的计量机构（如NIST等）。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如标准气体经稀释后储存在不锈钢罐（内壁经惰性化处理）中使用，不锈钢罐存储时间不超过</w:t>
      </w:r>
      <w:r>
        <w:rPr>
          <w:rFonts w:ascii="宋体" w:hAnsi="宋体" w:eastAsia="宋体" w:cs="Times New Roman"/>
          <w:sz w:val="24"/>
          <w:szCs w:val="20"/>
        </w:rPr>
        <w:t xml:space="preserve">20天（如所配标准气体含有TO-15，对稀释后的标准气体进行稳定性测试以确定稀释</w:t>
      </w:r>
      <w:r>
        <w:rPr>
          <w:rFonts w:ascii="宋体" w:hAnsi="宋体" w:eastAsia="宋体" w:cs="Times New Roman"/>
          <w:sz w:val="24"/>
          <w:szCs w:val="20"/>
        </w:rPr>
        <w:t xml:space="preserve">后标气</w:t>
      </w:r>
      <w:r>
        <w:rPr>
          <w:rFonts w:ascii="宋体" w:hAnsi="宋体" w:eastAsia="宋体" w:cs="Times New Roman"/>
          <w:sz w:val="24"/>
          <w:szCs w:val="20"/>
        </w:rPr>
        <w:t xml:space="preserve">储存时间）。</w:t>
      </w:r>
      <w:r>
        <w:rPr>
          <w:rFonts w:ascii="宋体" w:hAnsi="宋体" w:eastAsia="宋体" w:cs="Times New Roman"/>
          <w:sz w:val="24"/>
          <w:szCs w:val="20"/>
        </w:rPr>
        <w:t xml:space="preserve">储存标气的</w:t>
      </w:r>
      <w:r>
        <w:rPr>
          <w:rFonts w:ascii="宋体" w:hAnsi="宋体" w:eastAsia="宋体" w:cs="Times New Roman"/>
          <w:sz w:val="24"/>
          <w:szCs w:val="20"/>
        </w:rPr>
        <w:t xml:space="preserve">不锈钢</w:t>
      </w:r>
      <w:r>
        <w:rPr>
          <w:rFonts w:ascii="宋体" w:hAnsi="宋体" w:eastAsia="宋体" w:cs="Times New Roman"/>
          <w:sz w:val="24"/>
          <w:szCs w:val="20"/>
        </w:rPr>
        <w:t xml:space="preserve">罐专罐</w:t>
      </w:r>
      <w:r>
        <w:rPr>
          <w:rFonts w:ascii="宋体" w:hAnsi="宋体" w:eastAsia="宋体" w:cs="Times New Roman"/>
          <w:sz w:val="24"/>
          <w:szCs w:val="20"/>
        </w:rPr>
        <w:t xml:space="preserve">专用，不能用于环境空气或工业园区、污染源废气采样，使用前按相关说明书要求清洗，进行加热、加湿清洗。同一批次不锈钢罐清洗完成后，参考HJ-759《环境空气挥发性有机物的测定罐采样气相色谱-质谱法》中关于实验室空白的要求，按每批次不小于10%抽查要求（不足1个时按1个算），对不锈钢罐进行空白测试。空白测试结果各目</w:t>
      </w:r>
      <w:r>
        <w:rPr>
          <w:rFonts w:hint="eastAsia" w:ascii="宋体" w:hAnsi="宋体" w:eastAsia="宋体" w:cs="Times New Roman"/>
          <w:sz w:val="24"/>
          <w:szCs w:val="20"/>
        </w:rPr>
        <w:t xml:space="preserve">标化合物浓度低于其在目标化合物测试阶段测试得到的检出限，配气前进行不锈钢罐气密性检查。</w:t>
      </w:r>
      <w:r/>
    </w:p>
    <w:p>
      <w:pPr>
        <w:ind w:firstLine="480"/>
        <w:spacing w:line="440" w:lineRule="exact"/>
        <w:rPr>
          <w:rFonts w:ascii="宋体" w:hAnsi="宋体" w:eastAsia="宋体" w:cs="Times New Roman"/>
          <w:sz w:val="24"/>
          <w:szCs w:val="24"/>
        </w:rPr>
      </w:pPr>
      <w:r/>
      <w:bookmarkStart w:id="394" w:name="_Toc29387"/>
      <w:r/>
      <w:bookmarkStart w:id="395" w:name="_Toc13205"/>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hint="eastAsia" w:ascii="宋体" w:hAnsi="宋体" w:eastAsia="宋体" w:cs="Times New Roman"/>
          <w:sz w:val="24"/>
          <w:szCs w:val="24"/>
        </w:rPr>
        <w:t xml:space="preserve"> 稀释装置</w:t>
      </w:r>
      <w:bookmarkEnd w:id="394"/>
      <w:r/>
      <w:bookmarkEnd w:id="395"/>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使用压力比进行稀释的装置按照各厂家说明书的要求定期使用在计量认证有效期内的标准气压计对压力进行核查。</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流量比进行动态稀释的装置可使用在计量认证有效期内的标准流量计对其内部各流量计或流量控制装置进行流量传递，流量传递注意流量计的输出状态，使用标准压力和和标准温度计换算成同等状态进行核查和校准。</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上述核查或传递至少每季度执行一次，并建立相关的质控表格进行跟踪。</w:t>
      </w:r>
      <w:r/>
    </w:p>
    <w:p>
      <w:pPr>
        <w:ind w:firstLine="480"/>
        <w:spacing w:line="440" w:lineRule="exact"/>
        <w:rPr>
          <w:rFonts w:ascii="宋体" w:hAnsi="宋体" w:eastAsia="宋体" w:cs="Times New Roman"/>
          <w:sz w:val="24"/>
          <w:szCs w:val="24"/>
        </w:rPr>
      </w:pPr>
      <w:r/>
      <w:bookmarkStart w:id="396" w:name="_Toc13290"/>
      <w:r/>
      <w:bookmarkStart w:id="397" w:name="_Toc11113"/>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hint="eastAsia" w:ascii="宋体" w:hAnsi="宋体" w:eastAsia="宋体" w:cs="Times New Roman"/>
          <w:sz w:val="24"/>
          <w:szCs w:val="24"/>
        </w:rPr>
        <w:t xml:space="preserve"> 标准流量计</w:t>
      </w:r>
      <w:bookmarkEnd w:id="396"/>
      <w:r/>
      <w:bookmarkEnd w:id="397"/>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根据采样流量范围或动态稀释流量范围选择合适的流量计，流量计每年采用计量检定、计量校准等形式进行量值溯源，进行溯源的气体流量点在其日常应用的流量范围内。流量计示值与标准流量值的相对误差≤±1%，如超过±1%，对其示值进行修正。</w:t>
      </w:r>
      <w:r/>
    </w:p>
    <w:p>
      <w:pPr>
        <w:ind w:firstLine="480"/>
        <w:spacing w:line="440" w:lineRule="exact"/>
        <w:rPr>
          <w:rFonts w:ascii="宋体" w:hAnsi="宋体" w:eastAsia="宋体" w:cs="Times New Roman"/>
          <w:sz w:val="24"/>
          <w:szCs w:val="24"/>
        </w:rPr>
      </w:pPr>
      <w:r/>
      <w:bookmarkStart w:id="398" w:name="_Toc731"/>
      <w:r/>
      <w:bookmarkStart w:id="399" w:name="_Toc32655"/>
      <w:r/>
      <w:bookmarkStart w:id="400" w:name="_Toc514611220"/>
      <w:r/>
      <w:bookmarkStart w:id="401" w:name="_Toc512256218"/>
      <w:r/>
      <w:bookmarkStart w:id="402" w:name="_Toc514609368"/>
      <w:r>
        <w:rPr>
          <w:rFonts w:hint="eastAsia" w:ascii="宋体" w:hAnsi="宋体" w:eastAsia="宋体" w:cs="Times New Roman"/>
          <w:sz w:val="24"/>
          <w:szCs w:val="24"/>
        </w:rPr>
        <w:t xml:space="preserve">4</w:t>
      </w:r>
      <w:r>
        <w:rPr>
          <w:rFonts w:ascii="宋体" w:hAnsi="宋体" w:eastAsia="宋体" w:cs="Times New Roman"/>
          <w:sz w:val="24"/>
          <w:szCs w:val="24"/>
        </w:rPr>
        <w:t xml:space="preserve">.日常运</w:t>
      </w:r>
      <w:r>
        <w:rPr>
          <w:rFonts w:ascii="宋体" w:hAnsi="宋体" w:eastAsia="宋体" w:cs="Times New Roman"/>
          <w:sz w:val="24"/>
          <w:szCs w:val="24"/>
        </w:rPr>
        <w:t xml:space="preserve">维其他</w:t>
      </w:r>
      <w:r>
        <w:rPr>
          <w:rFonts w:ascii="宋体" w:hAnsi="宋体" w:eastAsia="宋体" w:cs="Times New Roman"/>
          <w:sz w:val="24"/>
          <w:szCs w:val="24"/>
        </w:rPr>
        <w:t xml:space="preserve">相关内容</w:t>
      </w:r>
      <w:bookmarkEnd w:id="398"/>
      <w:r/>
      <w:bookmarkEnd w:id="399"/>
      <w:r/>
      <w:bookmarkEnd w:id="400"/>
      <w:r/>
      <w:bookmarkEnd w:id="401"/>
      <w:r/>
      <w:bookmarkEnd w:id="402"/>
      <w:r/>
      <w:r/>
    </w:p>
    <w:p>
      <w:pPr>
        <w:ind w:firstLine="480"/>
        <w:spacing w:line="440" w:lineRule="exact"/>
        <w:rPr>
          <w:rFonts w:ascii="宋体" w:hAnsi="宋体" w:eastAsia="宋体" w:cs="Times New Roman"/>
          <w:sz w:val="24"/>
          <w:szCs w:val="24"/>
        </w:rPr>
      </w:pPr>
      <w:r/>
      <w:bookmarkStart w:id="403" w:name="_Toc15052"/>
      <w:r/>
      <w:bookmarkStart w:id="404" w:name="_Toc8748"/>
      <w:r>
        <w:rPr>
          <w:rFonts w:ascii="宋体" w:hAnsi="宋体" w:eastAsia="宋体" w:cs="Times New Roman"/>
          <w:sz w:val="24"/>
          <w:szCs w:val="24"/>
        </w:rPr>
        <w:t xml:space="preserve">4.1</w:t>
      </w:r>
      <w:r>
        <w:rPr>
          <w:rFonts w:hint="eastAsia" w:ascii="宋体" w:hAnsi="宋体" w:eastAsia="宋体" w:cs="Times New Roman"/>
          <w:sz w:val="24"/>
          <w:szCs w:val="24"/>
        </w:rPr>
        <w:t xml:space="preserve"> </w:t>
      </w:r>
      <w:r>
        <w:rPr>
          <w:rFonts w:ascii="宋体" w:hAnsi="宋体" w:eastAsia="宋体" w:cs="Times New Roman"/>
          <w:sz w:val="24"/>
          <w:szCs w:val="24"/>
        </w:rPr>
        <w:t xml:space="preserve">故障仪器维修</w:t>
      </w:r>
      <w:bookmarkEnd w:id="403"/>
      <w:r/>
      <w:bookmarkEnd w:id="404"/>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设备发生故障或接到故障通知</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2小时内响应，4小时内赶到现场，2</w:t>
      </w:r>
      <w:r>
        <w:rPr>
          <w:rFonts w:ascii="宋体" w:hAnsi="宋体" w:eastAsia="宋体" w:cs="Times New Roman"/>
          <w:sz w:val="24"/>
          <w:szCs w:val="24"/>
        </w:rPr>
        <w:t xml:space="preserve">4</w:t>
      </w:r>
      <w:r>
        <w:rPr>
          <w:rFonts w:hint="eastAsia" w:ascii="宋体" w:hAnsi="宋体" w:eastAsia="宋体" w:cs="Times New Roman"/>
          <w:sz w:val="24"/>
          <w:szCs w:val="24"/>
        </w:rPr>
        <w:t xml:space="preserve">小时内解决</w:t>
      </w:r>
      <w:r>
        <w:rPr>
          <w:rFonts w:ascii="宋体" w:hAnsi="宋体" w:eastAsia="宋体" w:cs="Times New Roman"/>
          <w:sz w:val="24"/>
          <w:szCs w:val="24"/>
        </w:rPr>
        <w:t xml:space="preserve">（通信线路、电力线路故障除外，但及时与相关部门联系积极解决）。当</w:t>
      </w:r>
      <w:r>
        <w:rPr>
          <w:rFonts w:hint="eastAsia" w:ascii="宋体" w:hAnsi="宋体" w:eastAsia="宋体" w:cs="Times New Roman"/>
          <w:sz w:val="24"/>
          <w:szCs w:val="24"/>
        </w:rPr>
        <w:t xml:space="preserve">空气站</w:t>
      </w:r>
      <w:r>
        <w:rPr>
          <w:rFonts w:ascii="宋体" w:hAnsi="宋体" w:eastAsia="宋体" w:cs="Times New Roman"/>
          <w:sz w:val="24"/>
          <w:szCs w:val="24"/>
        </w:rPr>
        <w:t xml:space="preserve">仪器出现故障不能及时修复时，在72小时之内使用备</w:t>
      </w:r>
      <w:r>
        <w:rPr>
          <w:rFonts w:ascii="宋体" w:hAnsi="宋体" w:eastAsia="宋体" w:cs="Times New Roman"/>
          <w:sz w:val="24"/>
          <w:szCs w:val="24"/>
        </w:rPr>
        <w:t xml:space="preserve">机开展</w:t>
      </w:r>
      <w:r>
        <w:rPr>
          <w:rFonts w:ascii="宋体" w:hAnsi="宋体" w:eastAsia="宋体" w:cs="Times New Roman"/>
          <w:sz w:val="24"/>
          <w:szCs w:val="24"/>
        </w:rPr>
        <w:t xml:space="preserve">监测。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（2）发生通信、电力故障时，</w:t>
      </w:r>
      <w:r>
        <w:rPr>
          <w:rFonts w:hint="eastAsia" w:ascii="宋体" w:hAnsi="宋体" w:eastAsia="宋体" w:cs="Times New Roman"/>
          <w:sz w:val="24"/>
          <w:szCs w:val="20"/>
        </w:rPr>
        <w:t xml:space="preserve">投标人应在2小时内</w:t>
      </w:r>
      <w:r>
        <w:rPr>
          <w:rFonts w:ascii="宋体" w:hAnsi="宋体" w:eastAsia="宋体" w:cs="Times New Roman"/>
          <w:sz w:val="24"/>
          <w:szCs w:val="20"/>
        </w:rPr>
        <w:t xml:space="preserve">到达现场，检查通讯线路、MODEM、数据采集器等，并及时处理，将检查结果及时反馈给采购人；如果故障是由通信线路、电力线路导致的，及时与相关部门联系积极解决。</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（3）更换下来故障仪器设备，</w:t>
      </w:r>
      <w:r>
        <w:rPr>
          <w:rFonts w:hint="eastAsia" w:ascii="宋体" w:hAnsi="宋体" w:eastAsia="宋体" w:cs="Times New Roman"/>
          <w:sz w:val="24"/>
          <w:szCs w:val="20"/>
        </w:rPr>
        <w:t xml:space="preserve">投标人应</w:t>
      </w:r>
      <w:r>
        <w:rPr>
          <w:rFonts w:ascii="宋体" w:hAnsi="宋体" w:eastAsia="宋体" w:cs="Times New Roman"/>
          <w:sz w:val="24"/>
          <w:szCs w:val="20"/>
        </w:rPr>
        <w:t xml:space="preserve">在5</w:t>
      </w:r>
      <w:r>
        <w:rPr>
          <w:rFonts w:hint="eastAsia" w:ascii="宋体" w:hAnsi="宋体" w:eastAsia="宋体" w:cs="Times New Roman"/>
          <w:sz w:val="24"/>
          <w:szCs w:val="20"/>
        </w:rPr>
        <w:t xml:space="preserve">天</w:t>
      </w:r>
      <w:r>
        <w:rPr>
          <w:rFonts w:ascii="宋体" w:hAnsi="宋体" w:eastAsia="宋体" w:cs="Times New Roman"/>
          <w:sz w:val="24"/>
          <w:szCs w:val="20"/>
        </w:rPr>
        <w:t xml:space="preserve">内对仪器完成维修（特殊备件损坏需进口购置的情况除外），修好的仪器经确认后重新投入运行。</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（4）投标人在维修每一台仪器，每一个故障时，都填写仪器维修报告表，详细记录故障现象、维修过程、更换备件情况等。</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（5）仪器出现重大故障或核心关键部件损坏，在维修完成后需进行严格校准，必要时要经重新检定或溯源后方可上架投入运行。</w:t>
      </w:r>
      <w:r/>
    </w:p>
    <w:p>
      <w:pPr>
        <w:ind w:firstLine="480"/>
        <w:spacing w:line="440" w:lineRule="exact"/>
        <w:rPr>
          <w:rFonts w:ascii="宋体" w:hAnsi="宋体" w:eastAsia="宋体" w:cs="Times New Roman"/>
          <w:sz w:val="24"/>
          <w:szCs w:val="24"/>
        </w:rPr>
      </w:pPr>
      <w:r/>
      <w:bookmarkStart w:id="405" w:name="_Toc27641"/>
      <w:r/>
      <w:bookmarkStart w:id="406" w:name="_Toc3323"/>
      <w:r>
        <w:rPr>
          <w:rFonts w:hint="eastAsia" w:ascii="宋体" w:hAnsi="宋体" w:eastAsia="宋体" w:cs="Times New Roman"/>
          <w:sz w:val="24"/>
          <w:szCs w:val="24"/>
        </w:rPr>
        <w:t xml:space="preserve">4</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环境空气质量自动监测系统年度维护大修</w:t>
      </w:r>
      <w:bookmarkEnd w:id="405"/>
      <w:r/>
      <w:bookmarkEnd w:id="406"/>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为了保证空气自动监测站的长期正常运行，</w:t>
      </w:r>
      <w:r>
        <w:rPr>
          <w:rFonts w:hint="eastAsia" w:ascii="宋体" w:hAnsi="宋体" w:eastAsia="宋体" w:cs="Times New Roman"/>
          <w:sz w:val="24"/>
          <w:szCs w:val="20"/>
        </w:rPr>
        <w:t xml:space="preserve">由投标人</w:t>
      </w:r>
      <w:r>
        <w:rPr>
          <w:rFonts w:ascii="宋体" w:hAnsi="宋体" w:eastAsia="宋体" w:cs="Times New Roman"/>
          <w:sz w:val="24"/>
          <w:szCs w:val="20"/>
        </w:rPr>
        <w:t xml:space="preserve">负责对系统进行年度维护和大修，必要时，对气路和关键零部件进行更换，对不合理的地方进行改造。具体内容如下：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w:t>
      </w:r>
      <w:r>
        <w:rPr>
          <w:rFonts w:ascii="宋体" w:hAnsi="宋体" w:eastAsia="宋体" w:cs="Times New Roman"/>
          <w:sz w:val="24"/>
          <w:szCs w:val="20"/>
        </w:rPr>
        <w:t xml:space="preserve">）按仪器使用和维护手册规定的要求，根据使用寿命更换监测仪器中的紫外灯、光电倍增管、制冷装置、转换炉和抽气泵膜等关键零部件。</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）对仪器电路各测试点进行测试与调整。</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）对仪器进行气路检漏和流量检查。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）对仪器光路、气路、电路板、机箱、电源和各种接头及插座等进行检查和清洁处理。</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）对仪器的输出零点和满量程进行检查和校准，并检查仪器的输出线性。</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）在每次完成仪器年度维护和大修后，或更换了仪器中的关键零部件后，对仪器重新进行多点校准和检查。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）对于完成年度维护和大修的仪器，进行连续24小时的仪器运行考核，在确认仪器工作正常后，方可投入使用。</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）在进行年度维护和大修时，及时做好维护记录。维护记录包含对仪器采取的维护措施和内容，以及校准核查等记录。</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（三）其他要求：</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1.在合同结束前投标人向采购人提交运</w:t>
      </w:r>
      <w:r>
        <w:rPr>
          <w:rFonts w:hint="eastAsia" w:ascii="宋体" w:hAnsi="宋体" w:eastAsia="宋体" w:cs="Times New Roman"/>
          <w:sz w:val="24"/>
          <w:szCs w:val="24"/>
        </w:rPr>
        <w:t xml:space="preserve">维总结</w:t>
      </w:r>
      <w:r>
        <w:rPr>
          <w:rFonts w:hint="eastAsia" w:ascii="宋体" w:hAnsi="宋体" w:eastAsia="宋体" w:cs="Times New Roman"/>
          <w:sz w:val="24"/>
          <w:szCs w:val="24"/>
        </w:rPr>
        <w:t xml:space="preserve">报告（附设备交接单）。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在履行工作职责期间（包括上下班途中），发生自身的人身伤害、伤亡以及事故等，均由投标人负责处理并承担经济和道义上的责任，采购人不承担任何责任。投标人与所派遣的运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发生纠纷，均由投标人负责调解与处理，采购人不承担责任。</w:t>
      </w:r>
      <w:r/>
    </w:p>
    <w:p>
      <w:pPr>
        <w:spacing w:line="440" w:lineRule="exact"/>
        <w:rPr>
          <w:rFonts w:ascii="Times New Roman" w:hAnsi="Times New Roman" w:eastAsia="宋体" w:cs="Times New Roman"/>
          <w:b/>
          <w:bCs/>
          <w:sz w:val="28"/>
          <w:szCs w:val="28"/>
        </w:rPr>
        <w:outlineLvl w:val="1"/>
      </w:pPr>
      <w:r/>
      <w:bookmarkStart w:id="407" w:name="_Toc151033875"/>
      <w:r/>
      <w:bookmarkStart w:id="408" w:name="_Toc212623539"/>
      <w:r>
        <w:rPr>
          <w:rFonts w:hint="eastAsia" w:ascii="Times New Roman" w:hAnsi="Times New Roman" w:eastAsia="宋体" w:cs="Times New Roman"/>
          <w:b/>
          <w:bCs/>
          <w:sz w:val="28"/>
          <w:szCs w:val="28"/>
        </w:rPr>
        <w:t xml:space="preserve">四、运</w:t>
      </w:r>
      <w:r>
        <w:rPr>
          <w:rFonts w:hint="eastAsia" w:ascii="Times New Roman" w:hAnsi="Times New Roman" w:eastAsia="宋体" w:cs="Times New Roman"/>
          <w:b/>
          <w:bCs/>
          <w:sz w:val="28"/>
          <w:szCs w:val="28"/>
        </w:rPr>
        <w:t xml:space="preserve">维考核</w:t>
      </w:r>
      <w:r>
        <w:rPr>
          <w:rFonts w:hint="eastAsia" w:ascii="Times New Roman" w:hAnsi="Times New Roman" w:eastAsia="宋体" w:cs="Times New Roman"/>
          <w:b/>
          <w:bCs/>
          <w:sz w:val="28"/>
          <w:szCs w:val="28"/>
        </w:rPr>
        <w:t xml:space="preserve">办法：</w:t>
      </w:r>
      <w:bookmarkEnd w:id="407"/>
      <w:r/>
      <w:bookmarkEnd w:id="408"/>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1.采购人</w:t>
      </w:r>
      <w:r>
        <w:rPr>
          <w:rFonts w:ascii="宋体" w:hAnsi="宋体" w:eastAsia="宋体" w:cs="Times New Roman"/>
          <w:sz w:val="24"/>
          <w:szCs w:val="20"/>
        </w:rPr>
        <w:t xml:space="preserve">将对</w:t>
      </w:r>
      <w:r>
        <w:rPr>
          <w:rFonts w:hint="eastAsia" w:ascii="宋体" w:hAnsi="宋体" w:eastAsia="宋体" w:cs="Times New Roman"/>
          <w:sz w:val="24"/>
          <w:szCs w:val="20"/>
        </w:rPr>
        <w:t xml:space="preserve">履约服务人员的职称、证书、资历等开展日常核实并记录在册。若不能符合要求的，应追究中标人违约责任。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2.采购人会通过定期或不定期的方式对投标人所运</w:t>
      </w:r>
      <w:r>
        <w:rPr>
          <w:rFonts w:hint="eastAsia" w:ascii="宋体" w:hAnsi="宋体" w:eastAsia="宋体" w:cs="Times New Roman"/>
          <w:sz w:val="24"/>
          <w:szCs w:val="20"/>
        </w:rPr>
        <w:t xml:space="preserve">维设备</w:t>
      </w:r>
      <w:r>
        <w:rPr>
          <w:rFonts w:hint="eastAsia" w:ascii="宋体" w:hAnsi="宋体" w:eastAsia="宋体" w:cs="Times New Roman"/>
          <w:sz w:val="24"/>
          <w:szCs w:val="20"/>
        </w:rPr>
        <w:t xml:space="preserve">情况进行抽查，查看运行记录档案，对系统的有效数据捕获率和异常情况处理率进行考核，每年度</w:t>
      </w:r>
      <w:r>
        <w:rPr>
          <w:rFonts w:hint="eastAsia" w:ascii="宋体" w:hAnsi="宋体" w:eastAsia="宋体" w:cs="Times New Roman"/>
          <w:sz w:val="24"/>
          <w:szCs w:val="20"/>
        </w:rPr>
        <w:t xml:space="preserve">依照运维考核</w:t>
      </w:r>
      <w:r>
        <w:rPr>
          <w:rFonts w:hint="eastAsia" w:ascii="宋体" w:hAnsi="宋体" w:eastAsia="宋体" w:cs="Times New Roman"/>
          <w:sz w:val="24"/>
          <w:szCs w:val="20"/>
        </w:rPr>
        <w:t xml:space="preserve">情况支付运行维护经费。具体如下：</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硫化氢/二氧化硫分析仪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氨气/氮氧化物</w:t>
      </w:r>
      <w:r>
        <w:rPr>
          <w:rFonts w:ascii="宋体" w:hAnsi="宋体" w:eastAsia="宋体" w:cs="Times New Roman"/>
          <w:sz w:val="24"/>
          <w:szCs w:val="20"/>
        </w:rPr>
        <w:t xml:space="preserve">分析仪、</w:t>
      </w:r>
      <w:r>
        <w:rPr>
          <w:rFonts w:hint="eastAsia" w:ascii="宋体" w:hAnsi="宋体" w:eastAsia="宋体" w:cs="Times New Roman"/>
          <w:sz w:val="24"/>
          <w:szCs w:val="20"/>
        </w:rPr>
        <w:t xml:space="preserve">臭氧分析</w:t>
      </w:r>
      <w:r>
        <w:rPr>
          <w:rFonts w:ascii="宋体" w:hAnsi="宋体" w:eastAsia="宋体" w:cs="Times New Roman"/>
          <w:sz w:val="24"/>
          <w:szCs w:val="20"/>
        </w:rPr>
        <w:t xml:space="preserve">仪、</w:t>
      </w:r>
      <w:r>
        <w:rPr>
          <w:rFonts w:hint="eastAsia" w:ascii="宋体" w:hAnsi="宋体" w:eastAsia="宋体" w:cs="Times New Roman"/>
          <w:sz w:val="24"/>
          <w:szCs w:val="20"/>
        </w:rPr>
        <w:t xml:space="preserve">一氧化碳分析仪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P</w:t>
      </w:r>
      <w:r>
        <w:rPr>
          <w:rFonts w:ascii="宋体" w:hAnsi="宋体" w:eastAsia="宋体" w:cs="Times New Roman"/>
          <w:sz w:val="24"/>
          <w:szCs w:val="20"/>
        </w:rPr>
        <w:t xml:space="preserve">M2.5</w:t>
      </w:r>
      <w:r>
        <w:rPr>
          <w:rFonts w:hint="eastAsia" w:ascii="宋体" w:hAnsi="宋体" w:eastAsia="宋体" w:cs="Times New Roman"/>
          <w:sz w:val="24"/>
          <w:szCs w:val="20"/>
        </w:rPr>
        <w:t xml:space="preserve">分析仪、PM</w:t>
      </w:r>
      <w:r>
        <w:rPr>
          <w:rFonts w:ascii="宋体" w:hAnsi="宋体" w:eastAsia="宋体" w:cs="Times New Roman"/>
          <w:sz w:val="24"/>
          <w:szCs w:val="20"/>
        </w:rPr>
        <w:t xml:space="preserve">10</w:t>
      </w:r>
      <w:r>
        <w:rPr>
          <w:rFonts w:hint="eastAsia" w:ascii="宋体" w:hAnsi="宋体" w:eastAsia="宋体" w:cs="Times New Roman"/>
          <w:sz w:val="24"/>
          <w:szCs w:val="20"/>
        </w:rPr>
        <w:t xml:space="preserve">分析仪、氯化氢/氯气分析仪、微型空气站，针对以上设备的平均有效数据捕获率进行考核。</w:t>
      </w:r>
      <w:r/>
    </w:p>
    <w:tbl>
      <w:tblPr>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83"/>
        <w:gridCol w:w="3728"/>
        <w:gridCol w:w="3313"/>
      </w:tblGrid>
      <w:tr>
        <w:trPr>
          <w:jc w:val="center"/>
          <w:trHeight w:val="50"/>
        </w:trPr>
        <w:tc>
          <w:tcPr>
            <w:gridSpan w:val="2"/>
            <w:tcMar>
              <w:left w:w="108" w:type="dxa"/>
              <w:top w:w="0" w:type="dxa"/>
              <w:right w:w="108" w:type="dxa"/>
              <w:bottom w:w="0" w:type="dxa"/>
            </w:tcMar>
            <w:tcW w:w="571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13"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rPr>
                <w:rFonts w:hint="eastAsia" w:ascii="宋体" w:hAnsi="宋体" w:eastAsia="宋体" w:cs="Times New Roman"/>
                <w:sz w:val="24"/>
                <w:szCs w:val="20"/>
              </w:rPr>
              <w:t xml:space="preserve">及质控考核</w:t>
            </w:r>
            <w:r/>
          </w:p>
        </w:tc>
      </w:tr>
      <w:tr>
        <w:trPr>
          <w:jc w:val="center"/>
          <w:trHeight w:val="60"/>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85%</w:t>
            </w: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0</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80%</w:t>
            </w:r>
            <w:r>
              <w:rPr>
                <w:rFonts w:hint="eastAsia" w:ascii="宋体" w:hAnsi="宋体" w:eastAsia="宋体" w:cs="Times New Roman"/>
                <w:sz w:val="24"/>
                <w:szCs w:val="20"/>
              </w:rPr>
              <w:t xml:space="preserve">≤Y＜</w:t>
            </w:r>
            <w:r>
              <w:rPr>
                <w:rFonts w:ascii="宋体" w:hAnsi="宋体" w:eastAsia="宋体" w:cs="Times New Roman"/>
                <w:sz w:val="24"/>
                <w:szCs w:val="20"/>
              </w:rPr>
              <w:t xml:space="preserve">85%</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165"/>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Y＜60</w:t>
            </w:r>
            <w:r>
              <w:rPr>
                <w:rFonts w:ascii="宋体" w:hAnsi="宋体" w:eastAsia="宋体" w:cs="Times New Roman"/>
                <w:sz w:val="24"/>
                <w:szCs w:val="20"/>
              </w:rPr>
              <w:t xml:space="preserve">%</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甲烷非甲烷总烃分析仪、低沸点有毒有害气体分析仪、高沸点有毒有害气体分析仪，针对以上设备的平均有效数据捕获率进行考核。</w:t>
      </w:r>
      <w:r/>
    </w:p>
    <w:tbl>
      <w:tblPr>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4"/>
        <w:gridCol w:w="3767"/>
        <w:gridCol w:w="3301"/>
      </w:tblGrid>
      <w:tr>
        <w:trPr>
          <w:jc w:val="center"/>
          <w:trHeight w:val="50"/>
        </w:trPr>
        <w:tc>
          <w:tcPr>
            <w:gridSpan w:val="2"/>
            <w:tcMar>
              <w:left w:w="108" w:type="dxa"/>
              <w:top w:w="0" w:type="dxa"/>
              <w:right w:w="108" w:type="dxa"/>
              <w:bottom w:w="0" w:type="dxa"/>
            </w:tcMar>
            <w:tcW w:w="574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01"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w:t>
            </w:r>
            <w:r>
              <w:rPr>
                <w:rFonts w:ascii="宋体" w:hAnsi="宋体" w:eastAsia="宋体" w:cs="Times New Roman"/>
                <w:sz w:val="24"/>
                <w:szCs w:val="20"/>
              </w:rPr>
              <w:t xml:space="preserve">的2.5%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49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说明：</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（1）各项扣款可以累加。</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）有效数据捕获率=（有效运行时数÷运行</w:t>
      </w:r>
      <w:r>
        <w:rPr>
          <w:rFonts w:ascii="宋体" w:hAnsi="宋体" w:eastAsia="宋体" w:cs="Times New Roman"/>
          <w:sz w:val="24"/>
          <w:szCs w:val="20"/>
        </w:rPr>
        <w:t xml:space="preserve">考核总</w:t>
      </w:r>
      <w:r>
        <w:rPr>
          <w:rFonts w:ascii="宋体" w:hAnsi="宋体" w:eastAsia="宋体" w:cs="Times New Roman"/>
          <w:sz w:val="24"/>
          <w:szCs w:val="20"/>
        </w:rPr>
        <w:t xml:space="preserve">时数）×100%</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（3）</w:t>
      </w:r>
      <w:r>
        <w:rPr>
          <w:rFonts w:ascii="宋体" w:hAnsi="宋体" w:eastAsia="宋体" w:cs="Times New Roman"/>
          <w:sz w:val="24"/>
          <w:szCs w:val="20"/>
        </w:rPr>
        <w:t xml:space="preserve">有效运行时数=运行</w:t>
      </w:r>
      <w:r>
        <w:rPr>
          <w:rFonts w:ascii="宋体" w:hAnsi="宋体" w:eastAsia="宋体" w:cs="Times New Roman"/>
          <w:sz w:val="24"/>
          <w:szCs w:val="20"/>
        </w:rPr>
        <w:t xml:space="preserve">考核总</w:t>
      </w:r>
      <w:r>
        <w:rPr>
          <w:rFonts w:ascii="宋体" w:hAnsi="宋体" w:eastAsia="宋体" w:cs="Times New Roman"/>
          <w:sz w:val="24"/>
          <w:szCs w:val="20"/>
        </w:rPr>
        <w:t xml:space="preserve">时数－无效数据时数</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）数据有效捕获率以</w:t>
      </w:r>
      <w:r>
        <w:rPr>
          <w:rFonts w:hint="eastAsia" w:ascii="宋体" w:hAnsi="宋体" w:eastAsia="宋体" w:cs="Times New Roman"/>
          <w:sz w:val="24"/>
          <w:szCs w:val="20"/>
        </w:rPr>
        <w:t xml:space="preserve">平均数据有效捕获率</w:t>
      </w:r>
      <w:r>
        <w:rPr>
          <w:rFonts w:ascii="宋体" w:hAnsi="宋体" w:eastAsia="宋体" w:cs="Times New Roman"/>
          <w:sz w:val="24"/>
          <w:szCs w:val="20"/>
        </w:rPr>
        <w:t xml:space="preserve">计算。</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（5）对其他不满足招标文件要求的情况酌情扣款。</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（6）年份计算时间为上一年1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月23日至本年1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月22日，不满足的按实际起始时间计算。</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.运</w:t>
      </w:r>
      <w:r>
        <w:rPr>
          <w:rFonts w:hint="eastAsia" w:ascii="宋体" w:hAnsi="宋体" w:eastAsia="宋体" w:cs="Times New Roman"/>
          <w:sz w:val="24"/>
          <w:szCs w:val="20"/>
        </w:rPr>
        <w:t xml:space="preserve">维单位</w:t>
      </w:r>
      <w:r>
        <w:rPr>
          <w:rFonts w:hint="eastAsia" w:ascii="宋体" w:hAnsi="宋体" w:eastAsia="宋体" w:cs="Times New Roman"/>
          <w:sz w:val="24"/>
          <w:szCs w:val="20"/>
        </w:rPr>
        <w:t xml:space="preserve">有下列情形之一的，除扣除当月所有站点运维费后进行约谈并警告。对警告两次仍不改正的，采购人有权单方面解除合同。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（1）使用虚假信息进行停运申请和操作的；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）未在规定时间内完成数据审核的；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）拖延、阻碍、拒绝质量监督检查的；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）发现采样、分析、数据采集和传输等过程中，有人为干扰现象，未及时制止并上报采购人的；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）未按相关规范要求开展运行维护，导致</w:t>
      </w:r>
      <w:r>
        <w:rPr>
          <w:rFonts w:hint="eastAsia" w:ascii="宋体" w:hAnsi="宋体" w:eastAsia="宋体" w:cs="Times New Roman"/>
          <w:sz w:val="24"/>
          <w:szCs w:val="20"/>
        </w:rPr>
        <w:t xml:space="preserve">空气站非正常</w:t>
      </w:r>
      <w:r>
        <w:rPr>
          <w:rFonts w:hint="eastAsia" w:ascii="宋体" w:hAnsi="宋体" w:eastAsia="宋体" w:cs="Times New Roman"/>
          <w:sz w:val="24"/>
          <w:szCs w:val="20"/>
        </w:rPr>
        <w:t xml:space="preserve">运行的。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4.</w:t>
      </w:r>
      <w:r>
        <w:rPr>
          <w:rFonts w:hint="eastAsia" w:ascii="宋体" w:hAnsi="宋体" w:eastAsia="宋体" w:cs="Times New Roman"/>
          <w:sz w:val="24"/>
          <w:szCs w:val="20"/>
        </w:rPr>
        <w:t xml:space="preserve">运</w:t>
      </w:r>
      <w:r>
        <w:rPr>
          <w:rFonts w:hint="eastAsia" w:ascii="宋体" w:hAnsi="宋体" w:eastAsia="宋体" w:cs="Times New Roman"/>
          <w:sz w:val="24"/>
          <w:szCs w:val="20"/>
        </w:rPr>
        <w:t xml:space="preserve">维单位</w:t>
      </w:r>
      <w:r>
        <w:rPr>
          <w:rFonts w:hint="eastAsia" w:ascii="宋体" w:hAnsi="宋体" w:eastAsia="宋体" w:cs="Times New Roman"/>
          <w:sz w:val="24"/>
          <w:szCs w:val="20"/>
        </w:rPr>
        <w:t xml:space="preserve">有下列情形之一的，采购人有权单方面解除合同。</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（1）实施或参与干扰采样设施和自动监测设施、破坏空气质量自动监测系统的；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）连续三次在相关机构（采购人、管理部门、委托质控核查单位）的标准样品考核中有单项考核结果为不合格的；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）出现2个以上（含2个）设备年平均数据有效率低于60%的；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）存在《环境监测数据弄虚作假行为判定及处理办法》中认定的篡改、伪造或者指使篡改、伪造监测数据行为的。</w:t>
      </w:r>
      <w:r/>
    </w:p>
    <w:p>
      <w:pPr>
        <w:spacing w:line="440" w:lineRule="exact"/>
        <w:rPr>
          <w:rFonts w:ascii="Times New Roman" w:hAnsi="Times New Roman" w:eastAsia="宋体" w:cs="Times New Roman"/>
          <w:b/>
          <w:bCs/>
          <w:sz w:val="28"/>
          <w:szCs w:val="28"/>
        </w:rPr>
        <w:outlineLvl w:val="1"/>
      </w:pPr>
      <w:r/>
      <w:bookmarkStart w:id="409" w:name="_Toc212623540"/>
      <w:r>
        <w:rPr>
          <w:rFonts w:hint="eastAsia" w:ascii="Times New Roman" w:hAnsi="Times New Roman" w:eastAsia="宋体" w:cs="Times New Roman"/>
          <w:b/>
          <w:bCs/>
          <w:sz w:val="28"/>
          <w:szCs w:val="28"/>
        </w:rPr>
        <w:t xml:space="preserve">五、报价要求</w:t>
      </w:r>
      <w:bookmarkEnd w:id="347"/>
      <w:r/>
      <w:bookmarkEnd w:id="348"/>
      <w:r/>
      <w:bookmarkEnd w:id="349"/>
      <w:r/>
      <w:bookmarkEnd w:id="350"/>
      <w:r/>
      <w:bookmarkEnd w:id="409"/>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370.00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项目实施过程中由采购人承担的项目及费用：</w:t>
      </w:r>
      <w:r>
        <w:rPr>
          <w:rFonts w:hint="eastAsia" w:ascii="宋体" w:hAnsi="宋体" w:eastAsia="宋体" w:cs="Times New Roman"/>
          <w:sz w:val="24"/>
          <w:szCs w:val="24"/>
        </w:rPr>
        <w:t xml:space="preserve">电费</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注：除上述所列由采购人承担的费用之外，其他在项目实施过程中产生的费用均由</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承担，包含在投标总价中。</w:t>
      </w:r>
      <w:r/>
    </w:p>
    <w:p>
      <w:pPr>
        <w:ind w:firstLine="480"/>
        <w:spacing w:line="440" w:lineRule="exact"/>
        <w:rPr>
          <w:rFonts w:ascii="宋体" w:hAnsi="宋体" w:eastAsia="宋体" w:cs="Times New Roman"/>
          <w:b/>
          <w:bCs/>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投标人应以人民币报价，投标总价包括服务期限内完成该项目工作所需的所有费用</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w:t>
      </w:r>
      <w:r>
        <w:rPr>
          <w:rFonts w:hint="eastAsia" w:ascii="宋体" w:hAnsi="宋体" w:eastAsia="宋体" w:cs="Times New Roman"/>
          <w:sz w:val="24"/>
          <w:szCs w:val="24"/>
        </w:rPr>
        <w:t xml:space="preserve">但不限于</w:t>
      </w:r>
      <w:r>
        <w:rPr>
          <w:rFonts w:ascii="宋体" w:hAnsi="宋体" w:eastAsia="宋体" w:cs="Times New Roman"/>
          <w:sz w:val="24"/>
          <w:szCs w:val="24"/>
        </w:rPr>
        <w:t xml:space="preserve">维修保养费</w:t>
      </w:r>
      <w:r>
        <w:rPr>
          <w:rFonts w:hint="eastAsia" w:ascii="宋体" w:hAnsi="宋体" w:eastAsia="宋体" w:cs="Times New Roman"/>
          <w:sz w:val="24"/>
          <w:szCs w:val="24"/>
        </w:rPr>
        <w:t xml:space="preserve">（包含</w:t>
      </w:r>
      <w:r>
        <w:rPr>
          <w:rFonts w:ascii="宋体" w:hAnsi="宋体" w:eastAsia="宋体" w:cs="Times New Roman"/>
          <w:bCs/>
          <w:sz w:val="24"/>
          <w:szCs w:val="24"/>
        </w:rPr>
        <w:t xml:space="preserve">标准物质、监测仪器和辅助设备</w:t>
      </w:r>
      <w:r>
        <w:rPr>
          <w:rFonts w:hint="eastAsia" w:ascii="宋体" w:hAnsi="宋体" w:eastAsia="宋体" w:cs="Times New Roman"/>
          <w:sz w:val="24"/>
          <w:szCs w:val="24"/>
        </w:rPr>
        <w:t xml:space="preserve">）、耗材费、备品备件费、站房维修费、易耗品和配件</w:t>
      </w:r>
      <w:r>
        <w:rPr>
          <w:rFonts w:ascii="宋体" w:hAnsi="宋体" w:eastAsia="宋体" w:cs="Times New Roman"/>
          <w:sz w:val="24"/>
          <w:szCs w:val="24"/>
        </w:rPr>
        <w:t xml:space="preserve">更换费、</w:t>
      </w:r>
      <w:r>
        <w:rPr>
          <w:rFonts w:hint="eastAsia" w:ascii="宋体" w:hAnsi="宋体" w:eastAsia="宋体" w:cs="Times New Roman"/>
          <w:sz w:val="24"/>
          <w:szCs w:val="24"/>
        </w:rPr>
        <w:t xml:space="preserve">检测费、</w:t>
      </w:r>
      <w:r>
        <w:rPr>
          <w:rFonts w:ascii="宋体" w:hAnsi="宋体" w:eastAsia="宋体" w:cs="Times New Roman"/>
          <w:sz w:val="24"/>
          <w:szCs w:val="24"/>
        </w:rPr>
        <w:t xml:space="preserve">站点通讯费</w:t>
      </w:r>
      <w:r>
        <w:rPr>
          <w:rFonts w:hint="eastAsia" w:ascii="宋体" w:hAnsi="宋体" w:eastAsia="宋体" w:cs="Times New Roman"/>
          <w:sz w:val="24"/>
          <w:szCs w:val="24"/>
        </w:rPr>
        <w:t xml:space="preserve">、实施服务费、常驻项目现场工作人员的工资、福利、食宿、交通、通信、项目利润、税金</w:t>
      </w:r>
      <w:r>
        <w:rPr>
          <w:rFonts w:ascii="宋体" w:hAnsi="宋体" w:eastAsia="宋体" w:cs="Times New Roman"/>
          <w:sz w:val="24"/>
          <w:szCs w:val="24"/>
        </w:rPr>
        <w:t xml:space="preserve">以及其他交付使用前所产生的所有费用</w:t>
      </w: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采购人不再为本项目支付其它任何费用。</w:t>
      </w:r>
      <w:r/>
    </w:p>
    <w:p>
      <w:pPr>
        <w:ind w:firstLine="480"/>
        <w:spacing w:line="480" w:lineRule="exact"/>
        <w:rPr>
          <w:rFonts w:ascii="Times New Roman" w:hAnsi="Times New Roman" w:eastAsia="宋体" w:cs="Times New Roman"/>
          <w:b/>
          <w:sz w:val="24"/>
          <w:szCs w:val="20"/>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投标人在投标报价时应考虑各种风险因素，相关风险因素费用包含在投标总价中。风险因素包括遇重大检查、突发情况、最低工资调整、社保调整、物价调整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税费调整等。</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0" w:name="_Toc212623541"/>
      <w:r>
        <w:rPr>
          <w:rFonts w:hint="eastAsia" w:ascii="Times New Roman" w:hAnsi="Times New Roman" w:eastAsia="宋体" w:cs="Times New Roman"/>
          <w:b/>
          <w:bCs/>
          <w:sz w:val="28"/>
          <w:szCs w:val="28"/>
        </w:rPr>
        <w:t xml:space="preserve">六、实质性要求</w:t>
      </w:r>
      <w:bookmarkEnd w:id="410"/>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411" w:name="_Toc163508321"/>
      <w:r/>
      <w:bookmarkStart w:id="412" w:name="_Toc163508396"/>
      <w:r/>
      <w:bookmarkStart w:id="413" w:name="_Toc212623542"/>
      <w:r>
        <w:rPr>
          <w:rFonts w:hint="eastAsia" w:ascii="宋体" w:hAnsi="宋体" w:eastAsia="宋体" w:cs="Times New Roman"/>
          <w:b/>
          <w:color w:val="000000"/>
          <w:sz w:val="44"/>
          <w:szCs w:val="44"/>
        </w:rPr>
        <w:t xml:space="preserve">第五章  评标方法与评标标准</w:t>
      </w:r>
      <w:bookmarkEnd w:id="411"/>
      <w:r/>
      <w:bookmarkEnd w:id="412"/>
      <w:r/>
      <w:bookmarkEnd w:id="413"/>
      <w:r/>
      <w:r/>
    </w:p>
    <w:p>
      <w:pPr>
        <w:spacing w:line="440" w:lineRule="exact"/>
        <w:rPr>
          <w:rFonts w:ascii="Calibri" w:hAnsi="Calibri" w:eastAsia="宋体" w:cs="Times New Roman"/>
          <w:b/>
          <w:bCs/>
          <w:sz w:val="28"/>
        </w:rPr>
      </w:pPr>
      <w:r/>
      <w:bookmarkStart w:id="414" w:name="_Toc16264"/>
      <w:r/>
      <w:bookmarkStart w:id="415" w:name="_Toc17476"/>
      <w:r/>
      <w:bookmarkStart w:id="416" w:name="_Toc698"/>
      <w:r>
        <w:rPr>
          <w:rFonts w:hint="eastAsia" w:ascii="Calibri" w:hAnsi="Calibri" w:eastAsia="宋体" w:cs="Times New Roman"/>
          <w:b/>
          <w:bCs/>
          <w:sz w:val="28"/>
        </w:rPr>
        <w:t xml:space="preserve">一、评标方法：</w:t>
      </w:r>
      <w:bookmarkEnd w:id="414"/>
      <w:r/>
      <w:bookmarkEnd w:id="415"/>
      <w:r/>
      <w:bookmarkEnd w:id="416"/>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、服务方案</w:t>
      </w:r>
      <w:r>
        <w:rPr>
          <w:rFonts w:hint="eastAsia" w:ascii="Times New Roman" w:hAnsi="Times New Roman" w:eastAsia="宋体" w:cs="Times New Roman"/>
          <w:b/>
          <w:bCs/>
          <w:sz w:val="24"/>
        </w:rPr>
        <w:t xml:space="preserve">6</w:t>
      </w:r>
      <w:r>
        <w:rPr>
          <w:rFonts w:ascii="Times New Roman" w:hAnsi="Times New Roman" w:eastAsia="宋体" w:cs="Times New Roman"/>
          <w:b/>
          <w:bCs/>
          <w:sz w:val="24"/>
        </w:rPr>
        <w:t xml:space="preserve">6</w:t>
      </w:r>
      <w:r>
        <w:rPr>
          <w:rFonts w:hint="eastAsia" w:ascii="Times New Roman" w:hAnsi="Times New Roman" w:eastAsia="宋体" w:cs="Times New Roman"/>
          <w:b/>
          <w:bCs/>
          <w:sz w:val="24"/>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701"/>
        <w:gridCol w:w="774"/>
        <w:gridCol w:w="5953"/>
      </w:tblGrid>
      <w:tr>
        <w:trPr>
          <w:jc w:val="center"/>
          <w:trHeight w:val="312"/>
        </w:trPr>
        <w:tc>
          <w:tcPr>
            <w:tcW w:w="846"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701"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shd w:val="clear" w:color="auto" w:fill="auto"/>
            <w:tcW w:w="595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b/>
                <w:sz w:val="24"/>
                <w:szCs w:val="24"/>
              </w:rPr>
              <w:t xml:space="preserve">评分标准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服务响应情况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17</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宋体"/>
                <w:sz w:val="24"/>
                <w:szCs w:val="24"/>
              </w:rPr>
              <w:t xml:space="preserve">投标人承诺提供的服务全部满足招标文件要求的得基本分</w:t>
            </w:r>
            <w:r>
              <w:rPr>
                <w:rFonts w:ascii="宋体" w:hAnsi="宋体" w:eastAsia="宋体" w:cs="宋体"/>
                <w:sz w:val="24"/>
                <w:szCs w:val="24"/>
              </w:rPr>
              <w:t xml:space="preserve">17</w:t>
            </w:r>
            <w:r>
              <w:rPr>
                <w:rFonts w:hint="eastAsia" w:ascii="宋体" w:hAnsi="宋体" w:eastAsia="宋体" w:cs="宋体"/>
                <w:sz w:val="24"/>
                <w:szCs w:val="24"/>
              </w:rPr>
              <w:t xml:space="preserve">分；有负偏离的，每条扣</w:t>
            </w:r>
            <w:r>
              <w:rPr>
                <w:rFonts w:ascii="宋体" w:hAnsi="宋体" w:eastAsia="宋体" w:cs="宋体"/>
                <w:sz w:val="24"/>
                <w:szCs w:val="24"/>
              </w:rPr>
              <w:t xml:space="preserve">0.1</w:t>
            </w:r>
            <w:r>
              <w:rPr>
                <w:rFonts w:hint="eastAsia" w:ascii="宋体" w:hAnsi="宋体" w:eastAsia="宋体" w:cs="宋体"/>
                <w:sz w:val="24"/>
                <w:szCs w:val="24"/>
              </w:rPr>
              <w:t xml:space="preserve">分，扣完为止。</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日常运维计划</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日常运维计划进行综合评定，内容完整具体、科学合理、切实可行的得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运行维护方法</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17" w:name="OLE_LINK7"/>
            <w:r/>
            <w:bookmarkStart w:id="418" w:name="OLE_LINK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运行维护方法进行综合评定，内容完整具体、科学合理、切实可行的得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17"/>
            <w:r/>
            <w:bookmarkEnd w:id="41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19" w:name="OLE_LINK9"/>
            <w:r/>
            <w:bookmarkStart w:id="420" w:name="OLE_LINK10"/>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19"/>
            <w:r/>
            <w:bookmarkEnd w:id="42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质量控制内容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1" w:name="OLE_LINK11"/>
            <w:r/>
            <w:bookmarkStart w:id="422" w:name="OLE_LINK12"/>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质量控制内容进行综合评定，内容完整具体、科学合理、切实可行的得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1"/>
            <w:r/>
            <w:bookmarkEnd w:id="422"/>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技术保障措施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3" w:name="OLE_LINK13"/>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技术保障措施进行综合评定，内容完整具体、科学合理、切实可行的得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数据传输方案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4" w:name="OLE_LINK14"/>
            <w:r/>
            <w:bookmarkStart w:id="425" w:name="OLE_LINK15"/>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数据传输方案进行综合评定，内容完整具体、科学合理、切实可行的得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4"/>
            <w:r/>
            <w:bookmarkEnd w:id="425"/>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数据质量管理及审核方案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6" w:name="OLE_LINK16"/>
            <w:r/>
            <w:bookmarkStart w:id="427" w:name="OLE_LINK17"/>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数据质量管理及审核方案进行综合评定，内容完整具体、科学合理、切实可行的得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6"/>
            <w:r/>
            <w:bookmarkEnd w:id="427"/>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应急方案1</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8" w:name="OLE_LINK18"/>
            <w:r/>
            <w:bookmarkStart w:id="429" w:name="OLE_LINK19"/>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应急方案进行综合评定，内容完整具体、科学合理、切实可行的得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8"/>
            <w:r/>
            <w:bookmarkEnd w:id="429"/>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w:t>
            </w:r>
            <w:r>
              <w:rPr>
                <w:rFonts w:ascii="宋体" w:hAnsi="宋体" w:eastAsia="宋体" w:cs="Times New Roman"/>
                <w:sz w:val="24"/>
                <w:szCs w:val="24"/>
              </w:rPr>
              <w:t xml:space="preserve">2</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为保障设备故障时的应急响应能力：</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（1）投标人具有常规空气站监测</w:t>
            </w:r>
            <w:r>
              <w:rPr>
                <w:rFonts w:hint="eastAsia" w:ascii="宋体" w:hAnsi="宋体" w:eastAsia="宋体" w:cs="Times New Roman"/>
                <w:sz w:val="24"/>
                <w:szCs w:val="24"/>
              </w:rPr>
              <w:t xml:space="preserve">因子走航监测</w:t>
            </w:r>
            <w:r>
              <w:rPr>
                <w:rFonts w:hint="eastAsia" w:ascii="宋体" w:hAnsi="宋体" w:eastAsia="宋体" w:cs="Times New Roman"/>
                <w:sz w:val="24"/>
                <w:szCs w:val="24"/>
              </w:rPr>
              <w:t xml:space="preserve">车，并承诺提供应急服务的得5分，提供合作单位</w:t>
            </w:r>
            <w:r>
              <w:rPr>
                <w:rFonts w:hint="eastAsia" w:ascii="宋体" w:hAnsi="宋体" w:eastAsia="宋体" w:cs="Times New Roman"/>
                <w:sz w:val="24"/>
                <w:szCs w:val="24"/>
              </w:rPr>
              <w:t xml:space="preserve">走航车</w:t>
            </w:r>
            <w:r>
              <w:rPr>
                <w:rFonts w:hint="eastAsia" w:ascii="宋体" w:hAnsi="宋体" w:eastAsia="宋体" w:cs="Times New Roman"/>
                <w:sz w:val="24"/>
                <w:szCs w:val="24"/>
              </w:rPr>
              <w:t xml:space="preserve">并承诺提供应急服务的得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p>
          <w:p>
            <w:pPr>
              <w:spacing w:line="440" w:lineRule="exact"/>
              <w:rPr>
                <w:rFonts w:ascii="宋体" w:hAnsi="宋体" w:eastAsia="宋体" w:cs="Times New Roman"/>
                <w:b/>
                <w:bCs/>
                <w:sz w:val="24"/>
                <w:szCs w:val="24"/>
              </w:rPr>
            </w:pPr>
            <w:r>
              <w:rPr>
                <w:rFonts w:hint="eastAsia" w:ascii="宋体" w:hAnsi="宋体" w:eastAsia="宋体" w:cs="Times New Roman"/>
                <w:sz w:val="24"/>
                <w:szCs w:val="24"/>
              </w:rPr>
              <w:t xml:space="preserve">（2）投标人具有VOCs空气站监测</w:t>
            </w:r>
            <w:r>
              <w:rPr>
                <w:rFonts w:hint="eastAsia" w:ascii="宋体" w:hAnsi="宋体" w:eastAsia="宋体" w:cs="Times New Roman"/>
                <w:sz w:val="24"/>
                <w:szCs w:val="24"/>
              </w:rPr>
              <w:t xml:space="preserve">因子走航监测</w:t>
            </w:r>
            <w:r>
              <w:rPr>
                <w:rFonts w:hint="eastAsia" w:ascii="宋体" w:hAnsi="宋体" w:eastAsia="宋体" w:cs="Times New Roman"/>
                <w:sz w:val="24"/>
                <w:szCs w:val="24"/>
              </w:rPr>
              <w:t xml:space="preserve">车或便携VOCs监测设备不低于站房现有57种监测因子的装备并承诺提供应急服务的得5分，提供合作单位</w:t>
            </w:r>
            <w:r>
              <w:rPr>
                <w:rFonts w:hint="eastAsia" w:ascii="宋体" w:hAnsi="宋体" w:eastAsia="宋体" w:cs="Times New Roman"/>
                <w:sz w:val="24"/>
                <w:szCs w:val="24"/>
              </w:rPr>
              <w:t xml:space="preserve">走航车</w:t>
            </w:r>
            <w:r>
              <w:rPr>
                <w:rFonts w:hint="eastAsia" w:ascii="宋体" w:hAnsi="宋体" w:eastAsia="宋体" w:cs="Times New Roman"/>
                <w:sz w:val="24"/>
                <w:szCs w:val="24"/>
              </w:rPr>
              <w:t xml:space="preserve">或装备并承诺提供应急服务的得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p>
          <w:p>
            <w:pPr>
              <w:spacing w:line="440" w:lineRule="exact"/>
              <w:rPr>
                <w:rFonts w:ascii="宋体" w:hAnsi="宋体" w:eastAsia="宋体" w:cs="宋体"/>
                <w:sz w:val="24"/>
                <w:szCs w:val="24"/>
              </w:rPr>
            </w:pPr>
            <w:r>
              <w:rPr>
                <w:rFonts w:hint="eastAsia" w:ascii="宋体" w:hAnsi="宋体" w:eastAsia="宋体" w:cs="Times New Roman"/>
                <w:b/>
                <w:bCs/>
                <w:sz w:val="24"/>
                <w:szCs w:val="24"/>
              </w:rPr>
              <w:t xml:space="preserve">注：投标文件中提供相关证明文件，包括</w:t>
            </w:r>
            <w:r>
              <w:rPr>
                <w:rFonts w:hint="eastAsia" w:ascii="宋体" w:hAnsi="宋体" w:eastAsia="宋体" w:cs="Times New Roman"/>
                <w:b/>
                <w:bCs/>
                <w:sz w:val="24"/>
                <w:szCs w:val="24"/>
              </w:rPr>
              <w:t xml:space="preserve">走航车辆</w:t>
            </w:r>
            <w:r>
              <w:rPr>
                <w:rFonts w:hint="eastAsia" w:ascii="宋体" w:hAnsi="宋体" w:eastAsia="宋体" w:cs="Times New Roman"/>
                <w:b/>
                <w:bCs/>
                <w:sz w:val="24"/>
                <w:szCs w:val="24"/>
              </w:rPr>
              <w:t xml:space="preserve">行驶证，若为合作单位</w:t>
            </w:r>
            <w:r>
              <w:rPr>
                <w:rFonts w:hint="eastAsia" w:ascii="宋体" w:hAnsi="宋体" w:eastAsia="宋体" w:cs="Times New Roman"/>
                <w:b/>
                <w:bCs/>
                <w:sz w:val="24"/>
                <w:szCs w:val="24"/>
              </w:rPr>
              <w:t xml:space="preserve">走航车</w:t>
            </w:r>
            <w:r>
              <w:rPr>
                <w:rFonts w:hint="eastAsia" w:ascii="宋体" w:hAnsi="宋体" w:eastAsia="宋体" w:cs="Times New Roman"/>
                <w:b/>
                <w:bCs/>
                <w:sz w:val="24"/>
                <w:szCs w:val="24"/>
              </w:rPr>
              <w:t xml:space="preserve">则需提供合作协议及发票，不提供不得分。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人员技术培训方案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0" w:name="OLE_LINK20"/>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人员技术培训方案进行综合评定，内容完整具体、科学合理、切实可行的得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1" w:name="OLE_LINK21"/>
            <w:r/>
            <w:bookmarkStart w:id="432" w:name="OLE_LINK22"/>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制度和措施（包括日常运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制度和措施、安全管理制度和措施、人员和车辆管理和措施等）进行综合评定，内容完整具体、科学合理、切实可行的得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1"/>
            <w:r/>
            <w:bookmarkEnd w:id="432"/>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质控能力</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自有或者</w:t>
            </w:r>
            <w:r>
              <w:rPr>
                <w:rFonts w:hint="eastAsia" w:ascii="宋体" w:hAnsi="宋体" w:eastAsia="宋体" w:cs="Times New Roman"/>
                <w:sz w:val="24"/>
                <w:szCs w:val="24"/>
              </w:rPr>
              <w:t xml:space="preserve">合作质量控制实验室，具有通过CMA计量认证的检测机构的得3分。</w:t>
            </w:r>
            <w:r>
              <w:rPr>
                <w:rFonts w:hint="eastAsia" w:ascii="宋体" w:hAnsi="宋体" w:eastAsia="宋体" w:cs="Times New Roman"/>
                <w:b/>
                <w:bCs/>
                <w:sz w:val="24"/>
                <w:szCs w:val="24"/>
              </w:rPr>
              <w:t xml:space="preserve">（须提供CMA计量认证证书扫描件，若为合作检测机构还需另外提供合作协议或意向合作协议，不提供不得分）；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1）拟派项目负责人具备监测类高级工程师职称的得2分。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2）拟派技术负责人具备人力资源部门认定的仪器仪表专业高级工程师职称的得2分。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注：投标文件中须提供以上证书扫描件以及</w:t>
            </w:r>
            <w:r>
              <w:rPr>
                <w:rFonts w:hint="eastAsia" w:ascii="宋体" w:hAnsi="宋体" w:eastAsia="宋体" w:cs="Times New Roman"/>
                <w:b/>
                <w:bCs/>
                <w:sz w:val="24"/>
                <w:szCs w:val="24"/>
              </w:rPr>
              <w:t xml:space="preserve">投标人为其缴纳的近三个月任意</w:t>
            </w:r>
            <w:r>
              <w:rPr>
                <w:rFonts w:ascii="宋体" w:hAnsi="宋体" w:eastAsia="宋体" w:cs="Times New Roman"/>
                <w:b/>
                <w:bCs/>
                <w:sz w:val="24"/>
                <w:szCs w:val="24"/>
              </w:rPr>
              <w:t xml:space="preserve">一个月</w:t>
            </w:r>
            <w:r>
              <w:rPr>
                <w:rFonts w:hint="eastAsia" w:ascii="宋体" w:hAnsi="宋体" w:eastAsia="宋体" w:cs="Times New Roman"/>
                <w:b/>
                <w:bCs/>
                <w:sz w:val="24"/>
                <w:szCs w:val="24"/>
              </w:rPr>
              <w:t xml:space="preserve">的</w:t>
            </w:r>
            <w:r>
              <w:rPr>
                <w:rFonts w:hint="eastAsia" w:ascii="宋体" w:hAnsi="宋体" w:eastAsia="宋体" w:cs="Times New Roman"/>
                <w:b/>
                <w:bCs/>
                <w:sz w:val="24"/>
                <w:szCs w:val="24"/>
              </w:rPr>
              <w:t xml:space="preserve">社保证明</w:t>
            </w:r>
            <w:r>
              <w:rPr>
                <w:rFonts w:hint="eastAsia" w:ascii="宋体" w:hAnsi="宋体" w:eastAsia="宋体" w:cs="Times New Roman"/>
                <w:b/>
                <w:bCs/>
                <w:sz w:val="24"/>
                <w:szCs w:val="24"/>
              </w:rPr>
              <w:t xml:space="preserve">材料扫描件</w:t>
            </w:r>
            <w:r>
              <w:rPr>
                <w:rFonts w:hint="eastAsia" w:ascii="宋体" w:hAnsi="宋体" w:eastAsia="宋体" w:cs="Times New Roman"/>
                <w:b/>
                <w:sz w:val="24"/>
                <w:szCs w:val="24"/>
              </w:rPr>
              <w:t xml:space="preserve">，未提供不得分。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5953"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投标人为本项目配备2辆运维车辆，得2分，为本项目配备1辆运维车辆，得1分。未提供的不得分。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注：车辆为机动汽车，投标文件中自有</w:t>
            </w:r>
            <w:r>
              <w:rPr>
                <w:rFonts w:ascii="宋体" w:hAnsi="宋体" w:eastAsia="宋体" w:cs="Times New Roman"/>
                <w:b/>
                <w:sz w:val="24"/>
                <w:szCs w:val="24"/>
              </w:rPr>
              <w:t xml:space="preserve">的</w:t>
            </w:r>
            <w:r>
              <w:rPr>
                <w:rFonts w:hint="eastAsia" w:ascii="宋体" w:hAnsi="宋体" w:eastAsia="宋体" w:cs="Times New Roman"/>
                <w:b/>
                <w:sz w:val="24"/>
                <w:szCs w:val="24"/>
              </w:rPr>
              <w:t xml:space="preserve">提供车辆行驶证扫描件，</w:t>
            </w:r>
            <w:r>
              <w:rPr>
                <w:rFonts w:ascii="宋体" w:hAnsi="宋体" w:eastAsia="宋体" w:cs="Times New Roman"/>
                <w:b/>
                <w:sz w:val="24"/>
                <w:szCs w:val="24"/>
              </w:rPr>
              <w:t xml:space="preserve">租赁的</w:t>
            </w:r>
            <w:r>
              <w:rPr>
                <w:rFonts w:hint="eastAsia" w:ascii="宋体" w:hAnsi="宋体" w:eastAsia="宋体" w:cs="Times New Roman"/>
                <w:b/>
                <w:sz w:val="24"/>
                <w:szCs w:val="24"/>
              </w:rPr>
              <w:t xml:space="preserve">另行</w:t>
            </w:r>
            <w:r>
              <w:rPr>
                <w:rFonts w:ascii="宋体" w:hAnsi="宋体" w:eastAsia="宋体" w:cs="Times New Roman"/>
                <w:b/>
                <w:sz w:val="24"/>
                <w:szCs w:val="24"/>
              </w:rPr>
              <w:t xml:space="preserve">提供租赁协议</w:t>
            </w:r>
            <w:r>
              <w:rPr>
                <w:rFonts w:hint="eastAsia" w:ascii="宋体" w:hAnsi="宋体" w:eastAsia="宋体" w:cs="Times New Roman"/>
                <w:b/>
                <w:sz w:val="24"/>
                <w:szCs w:val="24"/>
              </w:rPr>
              <w:t xml:space="preserve">。</w:t>
            </w:r>
            <w:r/>
          </w:p>
        </w:tc>
      </w:tr>
    </w:tbl>
    <w:p>
      <w:pPr>
        <w:ind w:firstLine="482"/>
        <w:spacing w:line="440" w:lineRule="exact"/>
        <w:rPr>
          <w:rFonts w:ascii="宋体" w:hAnsi="宋体" w:eastAsia="宋体" w:cs="Times New Roman"/>
          <w:b/>
          <w:bCs/>
          <w:sz w:val="24"/>
          <w:szCs w:val="21"/>
        </w:rPr>
      </w:pPr>
      <w:r>
        <w:rPr>
          <w:rFonts w:hint="eastAsia" w:ascii="宋体" w:hAnsi="宋体" w:eastAsia="宋体" w:cs="Times New Roman"/>
          <w:b/>
          <w:bCs/>
          <w:sz w:val="24"/>
          <w:szCs w:val="21"/>
        </w:rPr>
        <w:t xml:space="preserve">3、综合实力</w:t>
      </w:r>
      <w:r>
        <w:rPr>
          <w:rFonts w:ascii="宋体" w:hAnsi="宋体" w:eastAsia="宋体" w:cs="Times New Roman"/>
          <w:b/>
          <w:bCs/>
          <w:sz w:val="24"/>
          <w:szCs w:val="21"/>
        </w:rPr>
        <w:t xml:space="preserve">9</w:t>
      </w:r>
      <w:r>
        <w:rPr>
          <w:rFonts w:hint="eastAsia" w:ascii="宋体" w:hAnsi="宋体" w:eastAsia="宋体" w:cs="Times New Roman"/>
          <w:b/>
          <w:bCs/>
          <w:sz w:val="24"/>
          <w:szCs w:val="21"/>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1569"/>
        <w:gridCol w:w="774"/>
        <w:gridCol w:w="5953"/>
      </w:tblGrid>
      <w:tr>
        <w:trPr>
          <w:jc w:val="center"/>
          <w:trHeight w:val="558"/>
        </w:trPr>
        <w:tc>
          <w:tcPr>
            <w:tcW w:w="978"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569"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tcW w:w="5953"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评分标准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569" w:type="dxa"/>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商务条件响应性</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w:t>
            </w:r>
            <w:r>
              <w:rPr>
                <w:rFonts w:hint="eastAsia" w:ascii="宋体" w:hAnsi="宋体" w:eastAsia="宋体" w:cs="Times New Roman"/>
                <w:sz w:val="24"/>
                <w:szCs w:val="24"/>
              </w:rPr>
              <w:t xml:space="preserve">完全响应</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0.2</w:t>
            </w:r>
            <w:r>
              <w:rPr>
                <w:rFonts w:hint="eastAsia" w:ascii="宋体" w:hAnsi="宋体" w:eastAsia="宋体" w:cs="宋体"/>
                <w:sz w:val="24"/>
                <w:szCs w:val="24"/>
              </w:rPr>
              <w:t xml:space="preserve">分，扣完为止。</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w:t>
            </w:r>
            <w:r>
              <w:rPr>
                <w:rFonts w:ascii="宋体" w:hAnsi="宋体" w:eastAsia="宋体" w:cs="Times New Roman"/>
                <w:sz w:val="24"/>
                <w:szCs w:val="24"/>
              </w:rPr>
              <w:t xml:space="preserve">2</w:t>
            </w:r>
            <w:r>
              <w:rPr>
                <w:rFonts w:hint="eastAsia" w:ascii="宋体" w:hAnsi="宋体" w:eastAsia="宋体" w:cs="Times New Roman"/>
                <w:sz w:val="24"/>
                <w:szCs w:val="24"/>
              </w:rPr>
              <w:t xml:space="preserve">1年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月1日起（以合同签订日为准）至今承担的空气自动监测运维服务项目进行评定，有一个得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分，最多</w:t>
            </w:r>
            <w:r>
              <w:rPr>
                <w:rFonts w:hint="eastAsia" w:ascii="宋体" w:hAnsi="宋体" w:eastAsia="宋体" w:cs="Times New Roman"/>
                <w:sz w:val="24"/>
                <w:szCs w:val="24"/>
              </w:rPr>
              <w:t xml:space="preserve">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注：投标文件中需提供合同扫描件，未提供不得分。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业绩反馈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投标人自2021年1月1日起投标人获得过上述业绩客户正面（优异）反馈或感谢证明，有一个的1分，最高得3分。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注：投标文件中须提供相关证明材料。</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33" w:name="_Toc163508322"/>
      <w:r/>
      <w:bookmarkStart w:id="434" w:name="_Toc163508397"/>
      <w:r/>
      <w:bookmarkStart w:id="435" w:name="_Toc212623543"/>
      <w:r>
        <w:rPr>
          <w:rFonts w:hint="eastAsia" w:ascii="宋体" w:hAnsi="宋体" w:eastAsia="宋体" w:cs="Times New Roman"/>
          <w:b/>
          <w:color w:val="000000"/>
          <w:sz w:val="44"/>
          <w:szCs w:val="44"/>
        </w:rPr>
        <w:t xml:space="preserve">第六章  投标</w:t>
      </w:r>
      <w:bookmarkEnd w:id="336"/>
      <w:r/>
      <w:bookmarkEnd w:id="337"/>
      <w:r/>
      <w:bookmarkEnd w:id="338"/>
      <w:r>
        <w:rPr>
          <w:rFonts w:hint="eastAsia" w:ascii="宋体" w:hAnsi="宋体" w:eastAsia="宋体" w:cs="Times New Roman"/>
          <w:b/>
          <w:color w:val="000000"/>
          <w:sz w:val="44"/>
          <w:szCs w:val="44"/>
        </w:rPr>
        <w:t xml:space="preserve">文件格式</w:t>
      </w:r>
      <w:bookmarkEnd w:id="433"/>
      <w:r/>
      <w:bookmarkEnd w:id="434"/>
      <w:r/>
      <w:bookmarkEnd w:id="435"/>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36" w:name="_Hlt26955039"/>
      <w:r/>
      <w:bookmarkStart w:id="437" w:name="_Hlt26671244"/>
      <w:r/>
      <w:bookmarkStart w:id="438" w:name="_Toc49090576"/>
      <w:r/>
      <w:bookmarkStart w:id="439" w:name="_Toc26554094"/>
      <w:r/>
      <w:bookmarkStart w:id="440" w:name="_Toc120614282"/>
      <w:r/>
      <w:bookmarkEnd w:id="436"/>
      <w:r/>
      <w:bookmarkEnd w:id="437"/>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经开区大气自动监测设备运维服务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JSZC-320581-SZJZ-G2025-0074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441" w:name="_Toc163508398"/>
      <w:r/>
      <w:bookmarkStart w:id="442" w:name="_Toc163508323"/>
      <w:r/>
      <w:bookmarkStart w:id="443" w:name="_Toc212623544"/>
      <w:r>
        <w:rPr>
          <w:rFonts w:hint="eastAsia" w:ascii="Times New Roman" w:hAnsi="Times New Roman" w:eastAsia="宋体" w:cs="Times New Roman"/>
          <w:b/>
          <w:bCs/>
          <w:sz w:val="28"/>
          <w:szCs w:val="28"/>
        </w:rPr>
        <w:t xml:space="preserve">投标文件目录</w:t>
      </w:r>
      <w:bookmarkEnd w:id="441"/>
      <w:r/>
      <w:bookmarkEnd w:id="442"/>
      <w:r/>
      <w:bookmarkEnd w:id="443"/>
      <w:r/>
      <w:r/>
    </w:p>
    <w:tbl>
      <w:tblPr>
        <w:tblW w:w="92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w:t>
            </w:r>
            <w:bookmarkStart w:id="444" w:name="OLE_LINK5"/>
            <w:r/>
            <w:bookmarkStart w:id="445" w:name="OLE_LINK6"/>
            <w:r>
              <w:rPr>
                <w:rFonts w:hint="eastAsia" w:ascii="宋体" w:hAnsi="宋体" w:eastAsia="宋体" w:cs="Times New Roman"/>
                <w:sz w:val="24"/>
              </w:rPr>
              <w:t xml:space="preserve">报价</w:t>
            </w:r>
            <w:r>
              <w:rPr>
                <w:rFonts w:ascii="宋体" w:hAnsi="宋体" w:eastAsia="宋体" w:cs="Times New Roman"/>
                <w:sz w:val="24"/>
              </w:rPr>
              <w:t xml:space="preserve">明细表</w:t>
            </w:r>
            <w:bookmarkEnd w:id="444"/>
            <w:r/>
            <w:bookmarkEnd w:id="445"/>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、人员、设备</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46" w:name="_Toc163508399"/>
      <w:r/>
      <w:bookmarkStart w:id="447" w:name="_Toc163508324"/>
      <w:r/>
      <w:bookmarkStart w:id="448" w:name="_Toc212623545"/>
      <w:r>
        <w:rPr>
          <w:rFonts w:hint="eastAsia" w:ascii="宋体" w:hAnsi="宋体" w:eastAsia="宋体" w:cs="Times New Roman"/>
          <w:b/>
          <w:bCs/>
          <w:sz w:val="32"/>
          <w:szCs w:val="32"/>
        </w:rPr>
        <w:t xml:space="preserve">附件1 开标一览表</w:t>
      </w:r>
      <w:bookmarkEnd w:id="446"/>
      <w:r/>
      <w:bookmarkEnd w:id="447"/>
      <w:r/>
      <w:bookmarkEnd w:id="448"/>
      <w:r/>
      <w:r/>
    </w:p>
    <w:p>
      <w:pPr>
        <w:rPr>
          <w:rFonts w:ascii="宋体" w:hAnsi="宋体" w:eastAsia="宋体" w:cs="Times New Roman"/>
          <w:b/>
          <w:sz w:val="24"/>
          <w:szCs w:val="24"/>
        </w:rPr>
      </w:pPr>
      <w:r>
        <w:rPr>
          <w:rFonts w:ascii="宋体" w:hAnsi="宋体" w:eastAsia="宋体" w:cs="Times New Roman"/>
          <w:b/>
          <w:sz w:val="24"/>
          <w:szCs w:val="24"/>
        </w:rPr>
      </w:r>
      <w:bookmarkEnd w:id="326"/>
      <w:bookmarkEnd w:id="327"/>
      <w:bookmarkEnd w:id="438"/>
      <w:bookmarkEnd w:id="439"/>
      <w:bookmarkEnd w:id="440"/>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49" w:name="_Toc164280610"/>
      <w:r/>
      <w:r/>
    </w:p>
    <w:p>
      <w:pPr>
        <w:jc w:val="center"/>
        <w:rPr>
          <w:rFonts w:ascii="宋体" w:hAnsi="宋体" w:eastAsia="宋体" w:cs="Times New Roman"/>
          <w:b/>
          <w:bCs/>
          <w:sz w:val="32"/>
          <w:szCs w:val="32"/>
        </w:rPr>
        <w:outlineLvl w:val="1"/>
      </w:pPr>
      <w:r/>
      <w:bookmarkStart w:id="450" w:name="_Toc2126235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51" w:name="_Toc164280611"/>
      <w:r/>
      <w:bookmarkEnd w:id="449"/>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51"/>
      <w:r/>
      <w:bookmarkEnd w:id="450"/>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52" w:name="_Toc164280612"/>
      <w:r/>
      <w:bookmarkStart w:id="453" w:name="_Toc2126235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52"/>
      <w:r/>
      <w:bookmarkEnd w:id="453"/>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54" w:name="_Toc163508327"/>
      <w:r/>
      <w:bookmarkStart w:id="455" w:name="_Toc163508402"/>
      <w:r/>
      <w:r/>
    </w:p>
    <w:p>
      <w:pPr>
        <w:jc w:val="center"/>
        <w:rPr>
          <w:rFonts w:ascii="宋体" w:hAnsi="宋体" w:eastAsia="宋体" w:cs="Times New Roman"/>
          <w:b/>
          <w:bCs/>
          <w:sz w:val="32"/>
          <w:szCs w:val="32"/>
        </w:rPr>
        <w:outlineLvl w:val="1"/>
      </w:pPr>
      <w:r/>
      <w:bookmarkStart w:id="456" w:name="_Toc2126235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54"/>
      <w:r/>
      <w:bookmarkEnd w:id="455"/>
      <w:r/>
      <w:bookmarkEnd w:id="456"/>
      <w:r/>
      <w:r/>
    </w:p>
    <w:p>
      <w:pPr>
        <w:ind w:firstLine="562"/>
        <w:jc w:val="center"/>
        <w:spacing w:line="440" w:lineRule="exact"/>
        <w:rPr>
          <w:rFonts w:ascii="宋体" w:hAnsi="宋体" w:eastAsia="宋体" w:cs="宋体"/>
          <w:b/>
          <w:sz w:val="28"/>
          <w:szCs w:val="28"/>
        </w:rPr>
      </w:pPr>
      <w:r/>
      <w:bookmarkStart w:id="457" w:name="OLE_LINK23"/>
      <w:r/>
      <w:bookmarkStart w:id="458" w:name="OLE_LINK24"/>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经开区大气自动监测设备运维服务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59"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59"/>
      <w:r/>
      <w:bookmarkEnd w:id="457"/>
      <w:bookmarkEnd w:id="458"/>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60" w:name="_Toc163508403"/>
      <w:r/>
      <w:bookmarkStart w:id="461" w:name="_Toc163508328"/>
      <w:r/>
      <w:bookmarkStart w:id="462" w:name="_Toc2126235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60"/>
      <w:r/>
      <w:bookmarkEnd w:id="461"/>
      <w:r/>
      <w:bookmarkEnd w:id="462"/>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63" w:name="_Toc17235"/>
      <w:r/>
      <w:bookmarkStart w:id="464" w:name="_Toc155086474"/>
      <w:r/>
      <w:bookmarkStart w:id="465" w:name="_Toc155086574"/>
      <w:r>
        <w:rPr>
          <w:rFonts w:ascii="Times New Roman" w:hAnsi="Times New Roman" w:eastAsia="宋体" w:cs="Times New Roman"/>
          <w:b/>
          <w:bCs/>
          <w:sz w:val="28"/>
          <w:szCs w:val="28"/>
        </w:rPr>
        <w:br w:type="page" w:clear="all"/>
      </w:r>
      <w:bookmarkStart w:id="466" w:name="_Toc163508329"/>
      <w:r/>
      <w:bookmarkStart w:id="467" w:name="_Toc163508404"/>
      <w:r/>
      <w:bookmarkStart w:id="468" w:name="_Toc2126235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63"/>
      <w:r/>
      <w:bookmarkEnd w:id="464"/>
      <w:r/>
      <w:bookmarkEnd w:id="465"/>
      <w:r/>
      <w:bookmarkEnd w:id="466"/>
      <w:r/>
      <w:bookmarkEnd w:id="467"/>
      <w:r/>
      <w:bookmarkEnd w:id="468"/>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JSZC-320581-SZJZ-G2025-0074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69" w:name="_Toc163508326"/>
      <w:r/>
      <w:bookmarkStart w:id="470" w:name="_Toc163508401"/>
      <w:r/>
      <w:bookmarkStart w:id="471" w:name="_Toc163500766"/>
      <w:r/>
      <w:bookmarkStart w:id="472" w:name="_Toc212623551"/>
      <w:r/>
      <w:bookmarkStart w:id="473" w:name="_Toc163508400"/>
      <w:r/>
      <w:bookmarkStart w:id="474" w:name="_Toc163508325"/>
      <w:r/>
      <w:bookmarkStart w:id="475" w:name="_Toc163508405"/>
      <w:r/>
      <w:bookmarkStart w:id="476"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69"/>
      <w:r/>
      <w:bookmarkEnd w:id="470"/>
      <w:r/>
      <w:bookmarkEnd w:id="471"/>
      <w:r/>
      <w:bookmarkEnd w:id="472"/>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JSZC-320581-SZJZ-G2025-0074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73"/>
      <w:r/>
      <w:bookmarkEnd w:id="474"/>
      <w:r/>
      <w:r/>
    </w:p>
    <w:p>
      <w:pPr>
        <w:jc w:val="center"/>
        <w:rPr>
          <w:rFonts w:ascii="Times New Roman" w:hAnsi="Times New Roman" w:eastAsia="宋体" w:cs="Times New Roman"/>
          <w:b/>
          <w:bCs/>
          <w:sz w:val="28"/>
          <w:szCs w:val="28"/>
        </w:rPr>
        <w:outlineLvl w:val="1"/>
      </w:pPr>
      <w:r/>
      <w:bookmarkStart w:id="477" w:name="_Toc2126235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77"/>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78" w:name="_Toc2126235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475"/>
      <w:r/>
      <w:bookmarkEnd w:id="476"/>
      <w:r/>
      <w:bookmarkEnd w:id="478"/>
      <w:r/>
      <w:r/>
    </w:p>
    <w:tbl>
      <w:tblPr>
        <w:tblW w:w="9660"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1695"/>
        <w:gridCol w:w="1365"/>
        <w:gridCol w:w="1352"/>
        <w:gridCol w:w="845"/>
        <w:gridCol w:w="1281"/>
        <w:gridCol w:w="1276"/>
        <w:gridCol w:w="1126"/>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项目特征</w:t>
            </w:r>
            <w:r>
              <w:rPr>
                <w:rFonts w:ascii="宋体" w:hAnsi="宋体" w:eastAsia="宋体" w:cs="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ind w:right="-27"/>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tc>
      </w:tr>
    </w:tbl>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．投标人应根据本项目各项分项价格情况填写上述表格。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szCs w:val="24"/>
        </w:rPr>
        <w:t xml:space="preserve">请至多保留小数点后两位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sz w:val="24"/>
          <w:szCs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79" w:name="_Toc163508406"/>
      <w:r/>
      <w:bookmarkStart w:id="480" w:name="_Toc163508331"/>
      <w:r/>
      <w:bookmarkStart w:id="481" w:name="_Toc2126235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79"/>
      <w:r/>
      <w:bookmarkEnd w:id="480"/>
      <w:r/>
      <w:bookmarkEnd w:id="481"/>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82" w:name="_Toc212623555"/>
      <w:r/>
      <w:bookmarkStart w:id="483" w:name="_Toc163508332"/>
      <w:r/>
      <w:bookmarkStart w:id="484"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、人员、设备配备</w:t>
      </w:r>
      <w:bookmarkEnd w:id="482"/>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85" w:name="_Toc2126235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83"/>
      <w:r/>
      <w:bookmarkEnd w:id="484"/>
      <w:r/>
      <w:bookmarkEnd w:id="48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第一条 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第二条 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第九条 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第十条 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第十三条 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第十四条 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86" w:name="_Toc146524609"/>
      <w:r/>
      <w:bookmarkStart w:id="487" w:name="_Toc43821328"/>
      <w:r/>
      <w:bookmarkStart w:id="488" w:name="_Toc354834784"/>
      <w:r/>
      <w:bookmarkStart w:id="489" w:name="_Toc387400419"/>
      <w:r/>
      <w:bookmarkStart w:id="490" w:name="_Toc522610225"/>
      <w:r/>
      <w:bookmarkStart w:id="491" w:name="_Toc166007496"/>
      <w:r/>
      <w:bookmarkStart w:id="492" w:name="_Toc2126235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86"/>
      <w:r/>
      <w:bookmarkEnd w:id="487"/>
      <w:r/>
      <w:bookmarkEnd w:id="488"/>
      <w:r/>
      <w:bookmarkEnd w:id="489"/>
      <w:r/>
      <w:bookmarkEnd w:id="490"/>
      <w:r/>
      <w:bookmarkEnd w:id="491"/>
      <w:r/>
      <w:bookmarkEnd w:id="49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7"/>
        <w:rFonts w:ascii="宋体" w:hAnsi="宋体"/>
        <w:sz w:val="24"/>
        <w:szCs w:val="24"/>
      </w:rPr>
      <w:framePr w:wrap="around" w:vAnchor="text" w:hAnchor="page" w:x="5693" w:y="6"/>
    </w:pPr>
    <w:r>
      <w:rPr>
        <w:rFonts w:ascii="宋体" w:hAnsi="宋体"/>
        <w:sz w:val="24"/>
        <w:szCs w:val="24"/>
      </w:rPr>
      <w:fldChar w:fldCharType="begin"/>
    </w:r>
    <w:r>
      <w:rPr>
        <w:rStyle w:val="767"/>
        <w:rFonts w:ascii="宋体" w:hAnsi="宋体"/>
        <w:sz w:val="24"/>
        <w:szCs w:val="24"/>
      </w:rPr>
      <w:instrText xml:space="preserve">PAGE  </w:instrText>
    </w:r>
    <w:r>
      <w:rPr>
        <w:rFonts w:ascii="宋体" w:hAnsi="宋体"/>
        <w:sz w:val="24"/>
        <w:szCs w:val="24"/>
      </w:rPr>
      <w:fldChar w:fldCharType="separate"/>
    </w:r>
    <w:r>
      <w:rPr>
        <w:rStyle w:val="767"/>
        <w:rFonts w:ascii="宋体" w:hAnsi="宋体"/>
        <w:sz w:val="24"/>
        <w:szCs w:val="24"/>
      </w:rPr>
      <w:t xml:space="preserve">19</w:t>
    </w:r>
    <w:r>
      <w:rPr>
        <w:rFonts w:ascii="宋体" w:hAnsi="宋体"/>
        <w:sz w:val="24"/>
        <w:szCs w:val="24"/>
      </w:rPr>
      <w:fldChar w:fldCharType="end"/>
    </w:r>
    <w:r/>
  </w:p>
  <w:p>
    <w:pPr>
      <w:pStyle w:val="741"/>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upperLetter"/>
      <w:pStyle w:val="8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2"/>
      <w:isLgl w:val="false"/>
      <w:suff w:val="nothing"/>
      <w:lvlText w:val=""/>
      <w:lvlJc w:val="left"/>
      <w:pPr>
        <w:ind w:left="0" w:firstLine="0"/>
      </w:pPr>
      <w:rPr>
        <w:rFonts w:hint="eastAsia"/>
      </w:rPr>
    </w:lvl>
    <w:lvl w:ilvl="6">
      <w:start w:val="1"/>
      <w:numFmt w:val="none"/>
      <w:pStyle w:val="713"/>
      <w:isLgl w:val="false"/>
      <w:suff w:val="nothing"/>
      <w:lvlText w:val=""/>
      <w:lvlJc w:val="left"/>
      <w:pPr>
        <w:ind w:left="0" w:firstLine="0"/>
      </w:pPr>
      <w:rPr>
        <w:rFonts w:hint="eastAsia"/>
      </w:rPr>
    </w:lvl>
    <w:lvl w:ilvl="7">
      <w:start w:val="1"/>
      <w:numFmt w:val="none"/>
      <w:pStyle w:val="714"/>
      <w:isLgl w:val="false"/>
      <w:suff w:val="nothing"/>
      <w:lvlText w:val=""/>
      <w:lvlJc w:val="left"/>
      <w:pPr>
        <w:ind w:left="0" w:firstLine="0"/>
      </w:pPr>
      <w:rPr>
        <w:rFonts w:hint="eastAsia"/>
      </w:rPr>
    </w:lvl>
    <w:lvl w:ilvl="8">
      <w:start w:val="1"/>
      <w:numFmt w:val="none"/>
      <w:pStyle w:val="715"/>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6"/>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6"/>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43"/>
    <w:uiPriority w:val="99"/>
  </w:style>
  <w:style w:type="character" w:styleId="44">
    <w:name w:val="Footer Char"/>
    <w:basedOn w:val="716"/>
    <w:link w:val="741"/>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0"/>
    <w:uiPriority w:val="99"/>
    <w:rPr>
      <w:sz w:val="18"/>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6"/>
    <w:uiPriority w:val="99"/>
    <w:semiHidden/>
    <w:unhideWhenUsed/>
    <w:rPr>
      <w:vertAlign w:val="superscript"/>
    </w:rPr>
  </w:style>
  <w:style w:type="paragraph" w:styleId="189">
    <w:name w:val="TOC Heading"/>
    <w:uiPriority w:val="39"/>
    <w:unhideWhenUsed/>
  </w:style>
  <w:style w:type="paragraph" w:styleId="706" w:default="1">
    <w:name w:val="Normal"/>
    <w:qFormat/>
    <w:pPr>
      <w:jc w:val="both"/>
      <w:widowControl w:val="off"/>
    </w:pPr>
    <w:rPr>
      <w:rFonts w:asciiTheme="minorHAnsi" w:hAnsiTheme="minorHAnsi" w:eastAsiaTheme="minorEastAsia" w:cstheme="minorBidi"/>
      <w:sz w:val="21"/>
      <w:szCs w:val="22"/>
    </w:rPr>
  </w:style>
  <w:style w:type="paragraph" w:styleId="707">
    <w:name w:val="Heading 1"/>
    <w:basedOn w:val="706"/>
    <w:next w:val="706"/>
    <w:link w:val="784"/>
    <w:uiPriority w:val="9"/>
    <w:qFormat/>
    <w:pPr>
      <w:jc w:val="center"/>
      <w:keepNext/>
      <w:outlineLvl w:val="0"/>
    </w:pPr>
    <w:rPr>
      <w:rFonts w:ascii="楷体_GB2312" w:hAnsi="Times New Roman" w:eastAsia="楷体_GB2312" w:cs="Times New Roman"/>
      <w:sz w:val="28"/>
      <w:szCs w:val="28"/>
    </w:rPr>
  </w:style>
  <w:style w:type="paragraph" w:styleId="708">
    <w:name w:val="Heading 2"/>
    <w:basedOn w:val="706"/>
    <w:next w:val="719"/>
    <w:link w:val="785"/>
    <w:qFormat/>
    <w:pPr>
      <w:jc w:val="center"/>
      <w:keepLines/>
      <w:keepNext/>
      <w:spacing w:before="260" w:after="260" w:line="416" w:lineRule="auto"/>
      <w:outlineLvl w:val="1"/>
    </w:pPr>
    <w:rPr>
      <w:rFonts w:ascii="Arial" w:hAnsi="Arial" w:eastAsia="幼圆" w:cs="Arial"/>
      <w:b/>
      <w:bCs/>
      <w:sz w:val="44"/>
      <w:szCs w:val="44"/>
    </w:rPr>
  </w:style>
  <w:style w:type="paragraph" w:styleId="709">
    <w:name w:val="Heading 3"/>
    <w:basedOn w:val="706"/>
    <w:next w:val="719"/>
    <w:link w:val="7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0">
    <w:name w:val="Heading 4"/>
    <w:basedOn w:val="706"/>
    <w:next w:val="719"/>
    <w:link w:val="778"/>
    <w:qFormat/>
    <w:pPr>
      <w:keepLines/>
      <w:keepNext/>
      <w:spacing w:before="280" w:after="290" w:line="376" w:lineRule="auto"/>
      <w:outlineLvl w:val="3"/>
    </w:pPr>
    <w:rPr>
      <w:rFonts w:ascii="Arial" w:hAnsi="Arial" w:eastAsia="黑体" w:cs="Arial"/>
      <w:b/>
      <w:bCs/>
      <w:sz w:val="28"/>
      <w:szCs w:val="28"/>
    </w:rPr>
  </w:style>
  <w:style w:type="paragraph" w:styleId="711">
    <w:name w:val="Heading 5"/>
    <w:basedOn w:val="706"/>
    <w:next w:val="719"/>
    <w:link w:val="779"/>
    <w:qFormat/>
    <w:pPr>
      <w:keepNext/>
      <w:outlineLvl w:val="4"/>
    </w:pPr>
    <w:rPr>
      <w:rFonts w:ascii="宋体" w:hAnsi="Times New Roman" w:eastAsia="宋体" w:cs="Times New Roman"/>
      <w:color w:val="000000"/>
      <w:sz w:val="28"/>
      <w:szCs w:val="28"/>
    </w:rPr>
  </w:style>
  <w:style w:type="paragraph" w:styleId="712">
    <w:name w:val="Heading 6"/>
    <w:basedOn w:val="706"/>
    <w:next w:val="706"/>
    <w:link w:val="7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3">
    <w:name w:val="Heading 7"/>
    <w:basedOn w:val="706"/>
    <w:next w:val="706"/>
    <w:link w:val="7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4">
    <w:name w:val="Heading 8"/>
    <w:basedOn w:val="706"/>
    <w:next w:val="706"/>
    <w:link w:val="7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5">
    <w:name w:val="Heading 9"/>
    <w:basedOn w:val="706"/>
    <w:next w:val="706"/>
    <w:link w:val="783"/>
    <w:qFormat/>
    <w:pPr>
      <w:numPr>
        <w:ilvl w:val="8"/>
        <w:numId w:val="1"/>
      </w:numPr>
      <w:keepLines/>
      <w:keepNext/>
      <w:spacing w:before="240" w:after="64" w:line="320" w:lineRule="auto"/>
      <w:outlineLvl w:val="8"/>
    </w:pPr>
    <w:rPr>
      <w:rFonts w:ascii="Arial" w:hAnsi="Arial" w:eastAsia="黑体" w:cs="Times New Roman"/>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link w:val="786"/>
    <w:qFormat/>
    <w:pPr>
      <w:ind w:firstLine="420"/>
    </w:pPr>
    <w:rPr>
      <w:rFonts w:ascii="Calibri" w:hAnsi="Calibri" w:eastAsia="宋体" w:cs="Times New Roman"/>
      <w:szCs w:val="21"/>
    </w:rPr>
  </w:style>
  <w:style w:type="paragraph" w:styleId="720">
    <w:name w:val="List 3"/>
    <w:basedOn w:val="706"/>
    <w:pPr>
      <w:ind w:left="100" w:hanging="200"/>
    </w:pPr>
    <w:rPr>
      <w:rFonts w:ascii="Times New Roman" w:hAnsi="Times New Roman" w:eastAsia="宋体" w:cs="Times New Roman"/>
      <w:szCs w:val="21"/>
    </w:rPr>
  </w:style>
  <w:style w:type="paragraph" w:styleId="721">
    <w:name w:val="toc 7"/>
    <w:basedOn w:val="706"/>
    <w:next w:val="706"/>
    <w:semiHidden/>
    <w:pPr>
      <w:jc w:val="left"/>
    </w:pPr>
    <w:rPr>
      <w:rFonts w:ascii="Calibri" w:hAnsi="Calibri" w:eastAsia="宋体" w:cs="Times New Roman"/>
      <w:sz w:val="22"/>
    </w:rPr>
  </w:style>
  <w:style w:type="paragraph" w:styleId="722">
    <w:name w:val="index 8"/>
    <w:basedOn w:val="706"/>
    <w:next w:val="706"/>
    <w:semiHidden/>
    <w:pPr>
      <w:ind w:left="1400"/>
    </w:pPr>
    <w:rPr>
      <w:rFonts w:ascii="Times New Roman" w:hAnsi="Times New Roman" w:eastAsia="宋体" w:cs="Times New Roman"/>
      <w:szCs w:val="20"/>
    </w:rPr>
  </w:style>
  <w:style w:type="paragraph" w:styleId="723">
    <w:name w:val="index 5"/>
    <w:basedOn w:val="706"/>
    <w:next w:val="706"/>
    <w:semiHidden/>
    <w:pPr>
      <w:ind w:left="800"/>
    </w:pPr>
    <w:rPr>
      <w:rFonts w:ascii="Times New Roman" w:hAnsi="Times New Roman" w:eastAsia="宋体" w:cs="Times New Roman"/>
      <w:szCs w:val="20"/>
    </w:rPr>
  </w:style>
  <w:style w:type="paragraph" w:styleId="724">
    <w:name w:val="Document Map"/>
    <w:basedOn w:val="706"/>
    <w:link w:val="787"/>
    <w:semiHidden/>
    <w:pPr>
      <w:shd w:val="clear" w:color="auto" w:fill="000080"/>
    </w:pPr>
    <w:rPr>
      <w:rFonts w:ascii="Times New Roman" w:hAnsi="Times New Roman" w:eastAsia="宋体" w:cs="Times New Roman"/>
      <w:szCs w:val="21"/>
    </w:rPr>
  </w:style>
  <w:style w:type="paragraph" w:styleId="725">
    <w:name w:val="annotation text"/>
    <w:basedOn w:val="706"/>
    <w:link w:val="789"/>
    <w:unhideWhenUsed/>
    <w:pPr>
      <w:jc w:val="left"/>
    </w:pPr>
    <w:rPr>
      <w:rFonts w:ascii="Calibri" w:hAnsi="Calibri" w:eastAsia="宋体" w:cs="Times New Roman"/>
    </w:rPr>
  </w:style>
  <w:style w:type="paragraph" w:styleId="726">
    <w:name w:val="index 6"/>
    <w:basedOn w:val="706"/>
    <w:next w:val="706"/>
    <w:semiHidden/>
    <w:pPr>
      <w:ind w:left="1000"/>
    </w:pPr>
    <w:rPr>
      <w:rFonts w:ascii="Times New Roman" w:hAnsi="Times New Roman" w:eastAsia="宋体" w:cs="Times New Roman"/>
      <w:szCs w:val="20"/>
    </w:rPr>
  </w:style>
  <w:style w:type="paragraph" w:styleId="727">
    <w:name w:val="Body Text 3"/>
    <w:basedOn w:val="706"/>
    <w:link w:val="790"/>
    <w:rPr>
      <w:rFonts w:ascii="仿宋_GB2312" w:hAnsi="Arial" w:eastAsia="仿宋_GB2312" w:cs="Times New Roman"/>
      <w:sz w:val="32"/>
      <w:szCs w:val="32"/>
    </w:rPr>
  </w:style>
  <w:style w:type="paragraph" w:styleId="728">
    <w:name w:val="Body Text"/>
    <w:basedOn w:val="706"/>
    <w:link w:val="792"/>
    <w:qFormat/>
    <w:rPr>
      <w:rFonts w:ascii="楷体_GB2312" w:hAnsi="Arial" w:eastAsia="楷体_GB2312" w:cs="Times New Roman"/>
      <w:sz w:val="28"/>
      <w:szCs w:val="28"/>
    </w:rPr>
  </w:style>
  <w:style w:type="paragraph" w:styleId="729">
    <w:name w:val="Body Text Indent"/>
    <w:basedOn w:val="706"/>
    <w:link w:val="794"/>
    <w:unhideWhenUsed/>
    <w:pPr>
      <w:ind w:left="420"/>
      <w:spacing w:after="120"/>
    </w:pPr>
    <w:rPr>
      <w:rFonts w:ascii="Calibri" w:hAnsi="Calibri" w:eastAsia="宋体" w:cs="Times New Roman"/>
    </w:rPr>
  </w:style>
  <w:style w:type="paragraph" w:styleId="730">
    <w:name w:val="List 2"/>
    <w:basedOn w:val="706"/>
    <w:pPr>
      <w:ind w:left="100" w:hanging="200"/>
    </w:pPr>
    <w:rPr>
      <w:rFonts w:ascii="Times New Roman" w:hAnsi="Times New Roman" w:eastAsia="宋体" w:cs="Times New Roman"/>
      <w:szCs w:val="21"/>
    </w:rPr>
  </w:style>
  <w:style w:type="paragraph" w:styleId="731">
    <w:name w:val="Block Text"/>
    <w:basedOn w:val="706"/>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32">
    <w:name w:val="index 4"/>
    <w:basedOn w:val="706"/>
    <w:next w:val="706"/>
    <w:semiHidden/>
    <w:pPr>
      <w:ind w:left="600"/>
    </w:pPr>
    <w:rPr>
      <w:rFonts w:ascii="Times New Roman" w:hAnsi="Times New Roman" w:eastAsia="宋体" w:cs="Times New Roman"/>
      <w:szCs w:val="20"/>
    </w:rPr>
  </w:style>
  <w:style w:type="paragraph" w:styleId="733">
    <w:name w:val="toc 5"/>
    <w:basedOn w:val="706"/>
    <w:next w:val="706"/>
    <w:semiHidden/>
    <w:pPr>
      <w:jc w:val="left"/>
    </w:pPr>
    <w:rPr>
      <w:rFonts w:ascii="Calibri" w:hAnsi="Calibri" w:eastAsia="宋体" w:cs="Times New Roman"/>
      <w:sz w:val="22"/>
    </w:rPr>
  </w:style>
  <w:style w:type="paragraph" w:styleId="734">
    <w:name w:val="toc 3"/>
    <w:basedOn w:val="706"/>
    <w:next w:val="706"/>
    <w:uiPriority w:val="39"/>
    <w:pPr>
      <w:jc w:val="left"/>
    </w:pPr>
    <w:rPr>
      <w:rFonts w:ascii="Calibri" w:hAnsi="Calibri" w:eastAsia="宋体" w:cs="Times New Roman"/>
      <w:smallCaps/>
      <w:sz w:val="22"/>
    </w:rPr>
  </w:style>
  <w:style w:type="paragraph" w:styleId="735">
    <w:name w:val="Plain Text"/>
    <w:basedOn w:val="706"/>
    <w:link w:val="796"/>
    <w:qFormat/>
    <w:rPr>
      <w:rFonts w:ascii="宋体" w:hAnsi="Courier New" w:eastAsia="宋体" w:cs="Courier New"/>
      <w:szCs w:val="21"/>
    </w:rPr>
  </w:style>
  <w:style w:type="paragraph" w:styleId="736">
    <w:name w:val="toc 8"/>
    <w:basedOn w:val="706"/>
    <w:next w:val="706"/>
    <w:semiHidden/>
    <w:pPr>
      <w:jc w:val="left"/>
    </w:pPr>
    <w:rPr>
      <w:rFonts w:ascii="Calibri" w:hAnsi="Calibri" w:eastAsia="宋体" w:cs="Times New Roman"/>
      <w:sz w:val="22"/>
    </w:rPr>
  </w:style>
  <w:style w:type="paragraph" w:styleId="737">
    <w:name w:val="index 3"/>
    <w:basedOn w:val="706"/>
    <w:next w:val="706"/>
    <w:semiHidden/>
    <w:qFormat/>
    <w:pPr>
      <w:ind w:left="400"/>
    </w:pPr>
    <w:rPr>
      <w:rFonts w:ascii="Times New Roman" w:hAnsi="Times New Roman" w:eastAsia="宋体" w:cs="Times New Roman"/>
      <w:szCs w:val="20"/>
    </w:rPr>
  </w:style>
  <w:style w:type="paragraph" w:styleId="738">
    <w:name w:val="Date"/>
    <w:basedOn w:val="706"/>
    <w:next w:val="706"/>
    <w:link w:val="798"/>
    <w:qFormat/>
    <w:rPr>
      <w:rFonts w:ascii="Times New Roman" w:hAnsi="Times New Roman" w:eastAsia="宋体" w:cs="Times New Roman"/>
      <w:sz w:val="24"/>
      <w:szCs w:val="24"/>
    </w:rPr>
  </w:style>
  <w:style w:type="paragraph" w:styleId="739">
    <w:name w:val="Body Text Indent 2"/>
    <w:basedOn w:val="706"/>
    <w:link w:val="799"/>
    <w:qFormat/>
    <w:pPr>
      <w:ind w:left="630" w:firstLine="645"/>
    </w:pPr>
    <w:rPr>
      <w:rFonts w:ascii="Arial" w:hAnsi="Arial" w:eastAsia="仿宋_GB2312" w:cs="Arial"/>
      <w:sz w:val="32"/>
      <w:szCs w:val="32"/>
    </w:rPr>
  </w:style>
  <w:style w:type="paragraph" w:styleId="740">
    <w:name w:val="Balloon Text"/>
    <w:basedOn w:val="706"/>
    <w:link w:val="801"/>
    <w:qFormat/>
    <w:rPr>
      <w:rFonts w:ascii="Times New Roman" w:hAnsi="Times New Roman" w:eastAsia="宋体" w:cs="Times New Roman"/>
      <w:sz w:val="18"/>
      <w:szCs w:val="18"/>
    </w:rPr>
  </w:style>
  <w:style w:type="paragraph" w:styleId="741">
    <w:name w:val="Footer"/>
    <w:basedOn w:val="706"/>
    <w:link w:val="774"/>
    <w:unhideWhenUsed/>
    <w:pPr>
      <w:jc w:val="left"/>
      <w:tabs>
        <w:tab w:val="center" w:pos="4153" w:leader="none"/>
        <w:tab w:val="right" w:pos="8306" w:leader="none"/>
      </w:tabs>
    </w:pPr>
    <w:rPr>
      <w:sz w:val="18"/>
      <w:szCs w:val="18"/>
    </w:rPr>
  </w:style>
  <w:style w:type="paragraph" w:styleId="742">
    <w:name w:val="envelope return"/>
    <w:basedOn w:val="706"/>
    <w:qFormat/>
    <w:rPr>
      <w:rFonts w:ascii="Arial" w:hAnsi="Arial" w:eastAsia="宋体" w:cs="Times New Roman"/>
      <w:szCs w:val="20"/>
    </w:rPr>
  </w:style>
  <w:style w:type="paragraph" w:styleId="743">
    <w:name w:val="Header"/>
    <w:basedOn w:val="706"/>
    <w:link w:val="773"/>
    <w:unhideWhenUsed/>
    <w:pPr>
      <w:jc w:val="center"/>
      <w:tabs>
        <w:tab w:val="center" w:pos="4153" w:leader="none"/>
        <w:tab w:val="right" w:pos="8306" w:leader="none"/>
      </w:tabs>
      <w:pBdr>
        <w:bottom w:val="single" w:color="auto" w:sz="6" w:space="1"/>
      </w:pBdr>
    </w:pPr>
    <w:rPr>
      <w:sz w:val="18"/>
      <w:szCs w:val="18"/>
    </w:rPr>
  </w:style>
  <w:style w:type="paragraph" w:styleId="744">
    <w:name w:val="Signature"/>
    <w:basedOn w:val="706"/>
    <w:link w:val="803"/>
    <w:qFormat/>
    <w:pPr>
      <w:jc w:val="center"/>
      <w:spacing w:after="600" w:line="312" w:lineRule="atLeast"/>
    </w:pPr>
    <w:rPr>
      <w:rFonts w:ascii="Times New Roman" w:hAnsi="Times New Roman" w:eastAsia="仿宋_GB2312" w:cs="Times New Roman"/>
      <w:sz w:val="24"/>
      <w:szCs w:val="20"/>
    </w:rPr>
  </w:style>
  <w:style w:type="paragraph" w:styleId="745">
    <w:name w:val="toc 1"/>
    <w:basedOn w:val="706"/>
    <w:next w:val="706"/>
    <w:uiPriority w:val="39"/>
    <w:qFormat/>
    <w:pPr>
      <w:jc w:val="left"/>
      <w:spacing w:before="360" w:after="360"/>
    </w:pPr>
    <w:rPr>
      <w:rFonts w:ascii="Calibri" w:hAnsi="Calibri" w:eastAsia="宋体" w:cs="Times New Roman"/>
      <w:b/>
      <w:bCs/>
      <w:caps/>
      <w:sz w:val="22"/>
      <w:u w:val="single"/>
    </w:rPr>
  </w:style>
  <w:style w:type="paragraph" w:styleId="746">
    <w:name w:val="toc 4"/>
    <w:basedOn w:val="706"/>
    <w:next w:val="706"/>
    <w:semiHidden/>
    <w:qFormat/>
    <w:pPr>
      <w:jc w:val="left"/>
    </w:pPr>
    <w:rPr>
      <w:rFonts w:ascii="Calibri" w:hAnsi="Calibri" w:eastAsia="宋体" w:cs="Times New Roman"/>
      <w:sz w:val="22"/>
    </w:rPr>
  </w:style>
  <w:style w:type="paragraph" w:styleId="747">
    <w:name w:val="index heading"/>
    <w:basedOn w:val="706"/>
    <w:next w:val="748"/>
    <w:semiHidden/>
    <w:qFormat/>
    <w:rPr>
      <w:rFonts w:ascii="Times New Roman" w:hAnsi="Times New Roman" w:eastAsia="宋体" w:cs="Times New Roman"/>
      <w:szCs w:val="20"/>
    </w:rPr>
  </w:style>
  <w:style w:type="paragraph" w:styleId="748">
    <w:name w:val="index 1"/>
    <w:basedOn w:val="706"/>
    <w:next w:val="706"/>
    <w:semiHidden/>
    <w:unhideWhenUsed/>
    <w:qFormat/>
  </w:style>
  <w:style w:type="paragraph" w:styleId="749">
    <w:name w:val="List"/>
    <w:basedOn w:val="706"/>
    <w:pPr>
      <w:ind w:left="200" w:hanging="200"/>
    </w:pPr>
    <w:rPr>
      <w:rFonts w:ascii="Times New Roman" w:hAnsi="Times New Roman" w:eastAsia="宋体" w:cs="Times New Roman"/>
      <w:szCs w:val="21"/>
    </w:rPr>
  </w:style>
  <w:style w:type="paragraph" w:styleId="750">
    <w:name w:val="footnote text"/>
    <w:basedOn w:val="706"/>
    <w:link w:val="804"/>
    <w:pPr>
      <w:jc w:val="left"/>
    </w:pPr>
    <w:rPr>
      <w:rFonts w:ascii="Times New Roman" w:hAnsi="Times New Roman" w:eastAsia="宋体" w:cs="Times New Roman"/>
      <w:sz w:val="18"/>
      <w:szCs w:val="18"/>
    </w:rPr>
  </w:style>
  <w:style w:type="paragraph" w:styleId="751">
    <w:name w:val="toc 6"/>
    <w:basedOn w:val="706"/>
    <w:next w:val="706"/>
    <w:semiHidden/>
    <w:pPr>
      <w:jc w:val="left"/>
    </w:pPr>
    <w:rPr>
      <w:rFonts w:ascii="Calibri" w:hAnsi="Calibri" w:eastAsia="宋体" w:cs="Times New Roman"/>
      <w:sz w:val="22"/>
    </w:rPr>
  </w:style>
  <w:style w:type="paragraph" w:styleId="752">
    <w:name w:val="Body Text Indent 3"/>
    <w:basedOn w:val="706"/>
    <w:link w:val="805"/>
    <w:pPr>
      <w:ind w:left="645" w:firstLine="645"/>
    </w:pPr>
    <w:rPr>
      <w:rFonts w:ascii="Arial" w:hAnsi="Arial" w:eastAsia="仿宋_GB2312" w:cs="Arial"/>
      <w:color w:val="ffff00"/>
      <w:sz w:val="32"/>
      <w:szCs w:val="32"/>
    </w:rPr>
  </w:style>
  <w:style w:type="paragraph" w:styleId="753">
    <w:name w:val="index 7"/>
    <w:basedOn w:val="706"/>
    <w:next w:val="706"/>
    <w:semiHidden/>
    <w:pPr>
      <w:ind w:left="1200"/>
    </w:pPr>
    <w:rPr>
      <w:rFonts w:ascii="Times New Roman" w:hAnsi="Times New Roman" w:eastAsia="宋体" w:cs="Times New Roman"/>
      <w:szCs w:val="20"/>
    </w:rPr>
  </w:style>
  <w:style w:type="paragraph" w:styleId="754">
    <w:name w:val="index 9"/>
    <w:basedOn w:val="706"/>
    <w:next w:val="706"/>
    <w:semiHidden/>
    <w:pPr>
      <w:ind w:left="1600"/>
    </w:pPr>
    <w:rPr>
      <w:rFonts w:ascii="Times New Roman" w:hAnsi="Times New Roman" w:eastAsia="宋体" w:cs="Times New Roman"/>
      <w:szCs w:val="20"/>
    </w:rPr>
  </w:style>
  <w:style w:type="paragraph" w:styleId="755">
    <w:name w:val="table of figures"/>
    <w:basedOn w:val="706"/>
    <w:next w:val="706"/>
    <w:semiHidden/>
    <w:pPr>
      <w:ind w:left="840" w:hanging="420"/>
    </w:pPr>
    <w:rPr>
      <w:rFonts w:ascii="Times New Roman" w:hAnsi="Times New Roman" w:eastAsia="宋体" w:cs="Times New Roman"/>
      <w:szCs w:val="21"/>
    </w:rPr>
  </w:style>
  <w:style w:type="paragraph" w:styleId="756">
    <w:name w:val="toc 2"/>
    <w:basedOn w:val="706"/>
    <w:next w:val="706"/>
    <w:uiPriority w:val="39"/>
    <w:qFormat/>
    <w:pPr>
      <w:jc w:val="left"/>
    </w:pPr>
    <w:rPr>
      <w:rFonts w:ascii="Calibri" w:hAnsi="Calibri" w:eastAsia="宋体" w:cs="Times New Roman"/>
      <w:b/>
      <w:bCs/>
      <w:smallCaps/>
      <w:sz w:val="22"/>
    </w:rPr>
  </w:style>
  <w:style w:type="paragraph" w:styleId="757">
    <w:name w:val="toc 9"/>
    <w:basedOn w:val="706"/>
    <w:next w:val="706"/>
    <w:semiHidden/>
    <w:pPr>
      <w:jc w:val="left"/>
    </w:pPr>
    <w:rPr>
      <w:rFonts w:ascii="Calibri" w:hAnsi="Calibri" w:eastAsia="宋体" w:cs="Times New Roman"/>
      <w:sz w:val="22"/>
    </w:rPr>
  </w:style>
  <w:style w:type="paragraph" w:styleId="758">
    <w:name w:val="Body Text 2"/>
    <w:basedOn w:val="706"/>
    <w:link w:val="806"/>
    <w:pPr>
      <w:jc w:val="center"/>
      <w:widowControl/>
    </w:pPr>
    <w:rPr>
      <w:rFonts w:ascii="楷体_GB2312" w:hAnsi="Times New Roman" w:eastAsia="楷体_GB2312" w:cs="Times New Roman"/>
      <w:sz w:val="28"/>
      <w:szCs w:val="28"/>
    </w:rPr>
  </w:style>
  <w:style w:type="paragraph" w:styleId="759">
    <w:name w:val="HTML Preformatted"/>
    <w:basedOn w:val="706"/>
    <w:link w:val="80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60">
    <w:name w:val="Normal (Web)"/>
    <w:basedOn w:val="706"/>
    <w:uiPriority w:val="99"/>
    <w:pPr>
      <w:jc w:val="left"/>
      <w:spacing w:before="100" w:beforeAutospacing="1" w:after="100" w:afterAutospacing="1"/>
      <w:widowControl/>
    </w:pPr>
    <w:rPr>
      <w:rFonts w:ascii="宋体" w:hAnsi="宋体" w:eastAsia="宋体" w:cs="宋体"/>
      <w:sz w:val="24"/>
      <w:szCs w:val="24"/>
    </w:rPr>
  </w:style>
  <w:style w:type="paragraph" w:styleId="761">
    <w:name w:val="index 2"/>
    <w:basedOn w:val="706"/>
    <w:next w:val="706"/>
    <w:semiHidden/>
    <w:pPr>
      <w:ind w:left="200"/>
    </w:pPr>
    <w:rPr>
      <w:rFonts w:ascii="Times New Roman" w:hAnsi="Times New Roman" w:eastAsia="宋体" w:cs="Times New Roman"/>
      <w:szCs w:val="20"/>
    </w:rPr>
  </w:style>
  <w:style w:type="paragraph" w:styleId="762">
    <w:name w:val="annotation subject"/>
    <w:basedOn w:val="725"/>
    <w:next w:val="725"/>
    <w:link w:val="809"/>
    <w:rPr>
      <w:rFonts w:ascii="Times New Roman" w:hAnsi="Times New Roman"/>
      <w:b/>
      <w:bCs/>
      <w:szCs w:val="21"/>
    </w:rPr>
  </w:style>
  <w:style w:type="paragraph" w:styleId="763">
    <w:name w:val="Body Text First Indent"/>
    <w:basedOn w:val="706"/>
    <w:link w:val="810"/>
    <w:pPr>
      <w:ind w:firstLine="200"/>
      <w:spacing w:line="360" w:lineRule="auto"/>
    </w:pPr>
    <w:rPr>
      <w:rFonts w:ascii="仿宋_GB2312" w:hAnsi="Times New Roman" w:eastAsia="仿宋_GB2312" w:cs="Times New Roman"/>
      <w:sz w:val="30"/>
      <w:szCs w:val="30"/>
    </w:rPr>
  </w:style>
  <w:style w:type="paragraph" w:styleId="764">
    <w:name w:val="Body Text First Indent 2"/>
    <w:basedOn w:val="729"/>
    <w:link w:val="811"/>
    <w:pPr>
      <w:ind w:left="0" w:firstLine="420"/>
      <w:spacing w:after="0" w:line="360" w:lineRule="auto"/>
    </w:pPr>
    <w:rPr>
      <w:rFonts w:ascii="宋体" w:hAnsi="宋体"/>
      <w:szCs w:val="20"/>
    </w:rPr>
  </w:style>
  <w:style w:type="table" w:styleId="765">
    <w:name w:val="Table Grid"/>
    <w:basedOn w:val="717"/>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22"/>
    <w:qFormat/>
    <w:rPr>
      <w:b/>
      <w:bCs/>
    </w:rPr>
  </w:style>
  <w:style w:type="character" w:styleId="767">
    <w:name w:val="page number"/>
  </w:style>
  <w:style w:type="character" w:styleId="768">
    <w:name w:val="FollowedHyperlink"/>
    <w:rPr>
      <w:color w:val="800080"/>
      <w:u w:val="single"/>
    </w:rPr>
  </w:style>
  <w:style w:type="character" w:styleId="769">
    <w:name w:val="Emphasis"/>
    <w:uiPriority w:val="20"/>
    <w:qFormat/>
    <w:rPr>
      <w:i/>
      <w:iCs/>
    </w:rPr>
  </w:style>
  <w:style w:type="character" w:styleId="770">
    <w:name w:val="Hyperlink"/>
    <w:uiPriority w:val="99"/>
    <w:rPr>
      <w:color w:val="0000ff"/>
      <w:u w:val="single"/>
    </w:rPr>
  </w:style>
  <w:style w:type="character" w:styleId="771">
    <w:name w:val="annotation reference"/>
    <w:qFormat/>
    <w:rPr>
      <w:sz w:val="21"/>
      <w:szCs w:val="21"/>
    </w:rPr>
  </w:style>
  <w:style w:type="character" w:styleId="772">
    <w:name w:val="footnote reference"/>
    <w:unhideWhenUsed/>
    <w:qFormat/>
    <w:rPr>
      <w:vertAlign w:val="superscript"/>
    </w:rPr>
  </w:style>
  <w:style w:type="character" w:styleId="773" w:customStyle="1">
    <w:name w:val="页眉 字符"/>
    <w:basedOn w:val="716"/>
    <w:link w:val="743"/>
    <w:rPr>
      <w:sz w:val="18"/>
      <w:szCs w:val="18"/>
    </w:rPr>
  </w:style>
  <w:style w:type="character" w:styleId="774" w:customStyle="1">
    <w:name w:val="页脚 字符"/>
    <w:basedOn w:val="716"/>
    <w:link w:val="741"/>
    <w:rPr>
      <w:sz w:val="18"/>
      <w:szCs w:val="18"/>
    </w:rPr>
  </w:style>
  <w:style w:type="character" w:styleId="775" w:customStyle="1">
    <w:name w:val="标题 1 字符"/>
    <w:basedOn w:val="716"/>
    <w:uiPriority w:val="9"/>
    <w:rPr>
      <w:b/>
      <w:bCs/>
      <w:sz w:val="44"/>
      <w:szCs w:val="44"/>
    </w:rPr>
  </w:style>
  <w:style w:type="character" w:styleId="776" w:customStyle="1">
    <w:name w:val="标题 2 字符"/>
    <w:basedOn w:val="716"/>
    <w:rPr>
      <w:rFonts w:asciiTheme="majorHAnsi" w:hAnsiTheme="majorHAnsi" w:eastAsiaTheme="majorEastAsia" w:cstheme="majorBidi"/>
      <w:b/>
      <w:bCs/>
      <w:sz w:val="32"/>
      <w:szCs w:val="32"/>
    </w:rPr>
  </w:style>
  <w:style w:type="character" w:styleId="777" w:customStyle="1">
    <w:name w:val="标题 3 字符"/>
    <w:basedOn w:val="716"/>
    <w:link w:val="709"/>
    <w:rPr>
      <w:rFonts w:ascii="Times New Roman" w:hAnsi="Times New Roman" w:eastAsia="宋体" w:cs="Times New Roman"/>
      <w:b/>
      <w:bCs/>
      <w:sz w:val="32"/>
      <w:szCs w:val="32"/>
    </w:rPr>
  </w:style>
  <w:style w:type="character" w:styleId="778" w:customStyle="1">
    <w:name w:val="标题 4 字符"/>
    <w:basedOn w:val="716"/>
    <w:link w:val="710"/>
    <w:rPr>
      <w:rFonts w:ascii="Arial" w:hAnsi="Arial" w:eastAsia="黑体" w:cs="Arial"/>
      <w:b/>
      <w:bCs/>
      <w:sz w:val="28"/>
      <w:szCs w:val="28"/>
    </w:rPr>
  </w:style>
  <w:style w:type="character" w:styleId="779" w:customStyle="1">
    <w:name w:val="标题 5 字符"/>
    <w:basedOn w:val="716"/>
    <w:link w:val="711"/>
    <w:rPr>
      <w:rFonts w:ascii="宋体" w:hAnsi="Times New Roman" w:eastAsia="宋体" w:cs="Times New Roman"/>
      <w:color w:val="000000"/>
      <w:sz w:val="28"/>
      <w:szCs w:val="28"/>
    </w:rPr>
  </w:style>
  <w:style w:type="character" w:styleId="780" w:customStyle="1">
    <w:name w:val="标题 6 字符"/>
    <w:basedOn w:val="716"/>
    <w:link w:val="712"/>
    <w:rPr>
      <w:rFonts w:ascii="Arial" w:hAnsi="Arial" w:eastAsia="黑体" w:cs="Times New Roman"/>
      <w:b/>
      <w:bCs/>
      <w:sz w:val="24"/>
      <w:szCs w:val="24"/>
    </w:rPr>
  </w:style>
  <w:style w:type="character" w:styleId="781" w:customStyle="1">
    <w:name w:val="标题 7 字符"/>
    <w:basedOn w:val="716"/>
    <w:link w:val="713"/>
    <w:rPr>
      <w:rFonts w:ascii="Times New Roman" w:hAnsi="Times New Roman" w:eastAsia="宋体" w:cs="Times New Roman"/>
      <w:b/>
      <w:bCs/>
      <w:sz w:val="24"/>
      <w:szCs w:val="24"/>
    </w:rPr>
  </w:style>
  <w:style w:type="character" w:styleId="782" w:customStyle="1">
    <w:name w:val="标题 8 字符"/>
    <w:basedOn w:val="716"/>
    <w:link w:val="714"/>
    <w:rPr>
      <w:rFonts w:ascii="Arial" w:hAnsi="Arial" w:eastAsia="黑体" w:cs="Times New Roman"/>
      <w:sz w:val="24"/>
      <w:szCs w:val="24"/>
    </w:rPr>
  </w:style>
  <w:style w:type="character" w:styleId="783" w:customStyle="1">
    <w:name w:val="标题 9 字符"/>
    <w:basedOn w:val="716"/>
    <w:link w:val="715"/>
    <w:rPr>
      <w:rFonts w:ascii="Arial" w:hAnsi="Arial" w:eastAsia="黑体" w:cs="Times New Roman"/>
      <w:szCs w:val="21"/>
    </w:rPr>
  </w:style>
  <w:style w:type="character" w:styleId="784" w:customStyle="1">
    <w:name w:val="标题 1 字符1"/>
    <w:link w:val="707"/>
    <w:uiPriority w:val="9"/>
    <w:rPr>
      <w:rFonts w:ascii="楷体_GB2312" w:hAnsi="Times New Roman" w:eastAsia="楷体_GB2312" w:cs="Times New Roman"/>
      <w:sz w:val="28"/>
      <w:szCs w:val="28"/>
    </w:rPr>
  </w:style>
  <w:style w:type="character" w:styleId="785" w:customStyle="1">
    <w:name w:val="标题 2 字符3"/>
    <w:link w:val="708"/>
    <w:rPr>
      <w:rFonts w:ascii="Arial" w:hAnsi="Arial" w:eastAsia="幼圆" w:cs="Arial"/>
      <w:b/>
      <w:bCs/>
      <w:sz w:val="44"/>
      <w:szCs w:val="44"/>
    </w:rPr>
  </w:style>
  <w:style w:type="character" w:styleId="786" w:customStyle="1">
    <w:name w:val="正文缩进 字符1"/>
    <w:link w:val="719"/>
    <w:rPr>
      <w:rFonts w:ascii="Calibri" w:hAnsi="Calibri" w:eastAsia="宋体" w:cs="Times New Roman"/>
      <w:szCs w:val="21"/>
    </w:rPr>
  </w:style>
  <w:style w:type="character" w:styleId="787" w:customStyle="1">
    <w:name w:val="文档结构图 字符"/>
    <w:basedOn w:val="716"/>
    <w:link w:val="724"/>
    <w:semiHidden/>
    <w:rPr>
      <w:rFonts w:ascii="Times New Roman" w:hAnsi="Times New Roman" w:eastAsia="宋体" w:cs="Times New Roman"/>
      <w:szCs w:val="21"/>
      <w:shd w:val="clear" w:color="auto" w:fill="000080"/>
    </w:rPr>
  </w:style>
  <w:style w:type="character" w:styleId="788" w:customStyle="1">
    <w:name w:val="批注文字 字符"/>
    <w:basedOn w:val="716"/>
  </w:style>
  <w:style w:type="character" w:styleId="789" w:customStyle="1">
    <w:name w:val="批注文字 字符2"/>
    <w:link w:val="725"/>
    <w:rPr>
      <w:rFonts w:ascii="Calibri" w:hAnsi="Calibri" w:eastAsia="宋体" w:cs="Times New Roman"/>
    </w:rPr>
  </w:style>
  <w:style w:type="character" w:styleId="790" w:customStyle="1">
    <w:name w:val="正文文本 3 字符"/>
    <w:basedOn w:val="716"/>
    <w:link w:val="727"/>
    <w:rPr>
      <w:rFonts w:ascii="仿宋_GB2312" w:hAnsi="Arial" w:eastAsia="仿宋_GB2312" w:cs="Times New Roman"/>
      <w:sz w:val="32"/>
      <w:szCs w:val="32"/>
    </w:rPr>
  </w:style>
  <w:style w:type="character" w:styleId="791" w:customStyle="1">
    <w:name w:val="正文文本 字符"/>
    <w:basedOn w:val="716"/>
  </w:style>
  <w:style w:type="character" w:styleId="792" w:customStyle="1">
    <w:name w:val="正文文本 字符3"/>
    <w:link w:val="728"/>
    <w:rPr>
      <w:rFonts w:ascii="楷体_GB2312" w:hAnsi="Arial" w:eastAsia="楷体_GB2312" w:cs="Times New Roman"/>
      <w:sz w:val="28"/>
      <w:szCs w:val="28"/>
    </w:rPr>
  </w:style>
  <w:style w:type="character" w:styleId="793" w:customStyle="1">
    <w:name w:val="正文文本缩进 字符"/>
    <w:basedOn w:val="716"/>
  </w:style>
  <w:style w:type="character" w:styleId="794" w:customStyle="1">
    <w:name w:val="正文文本缩进 字符1"/>
    <w:link w:val="729"/>
    <w:rPr>
      <w:rFonts w:ascii="Calibri" w:hAnsi="Calibri" w:eastAsia="宋体" w:cs="Times New Roman"/>
    </w:rPr>
  </w:style>
  <w:style w:type="character" w:styleId="795" w:customStyle="1">
    <w:name w:val="纯文本 字符"/>
    <w:basedOn w:val="716"/>
    <w:rPr>
      <w:rFonts w:hAnsi="Courier New" w:cs="Courier New" w:asciiTheme="minorEastAsia"/>
    </w:rPr>
  </w:style>
  <w:style w:type="character" w:styleId="796" w:customStyle="1">
    <w:name w:val="纯文本 字符2"/>
    <w:link w:val="735"/>
    <w:qFormat/>
    <w:rPr>
      <w:rFonts w:ascii="宋体" w:hAnsi="Courier New" w:eastAsia="宋体" w:cs="Courier New"/>
      <w:szCs w:val="21"/>
    </w:rPr>
  </w:style>
  <w:style w:type="character" w:styleId="797" w:customStyle="1">
    <w:name w:val="日期 字符"/>
    <w:basedOn w:val="716"/>
    <w:qFormat/>
  </w:style>
  <w:style w:type="character" w:styleId="798" w:customStyle="1">
    <w:name w:val="日期 字符2"/>
    <w:link w:val="738"/>
    <w:qFormat/>
    <w:rPr>
      <w:rFonts w:ascii="Times New Roman" w:hAnsi="Times New Roman" w:eastAsia="宋体" w:cs="Times New Roman"/>
      <w:sz w:val="24"/>
      <w:szCs w:val="24"/>
    </w:rPr>
  </w:style>
  <w:style w:type="character" w:styleId="799" w:customStyle="1">
    <w:name w:val="正文文本缩进 2 字符"/>
    <w:basedOn w:val="716"/>
    <w:link w:val="739"/>
    <w:qFormat/>
    <w:rPr>
      <w:rFonts w:ascii="Arial" w:hAnsi="Arial" w:eastAsia="仿宋_GB2312" w:cs="Arial"/>
      <w:sz w:val="32"/>
      <w:szCs w:val="32"/>
    </w:rPr>
  </w:style>
  <w:style w:type="character" w:styleId="800" w:customStyle="1">
    <w:name w:val="批注框文本 字符"/>
    <w:basedOn w:val="716"/>
    <w:qFormat/>
    <w:rPr>
      <w:sz w:val="18"/>
      <w:szCs w:val="18"/>
    </w:rPr>
  </w:style>
  <w:style w:type="character" w:styleId="801" w:customStyle="1">
    <w:name w:val="批注框文本 字符1"/>
    <w:link w:val="740"/>
    <w:qFormat/>
    <w:rPr>
      <w:rFonts w:ascii="Times New Roman" w:hAnsi="Times New Roman" w:eastAsia="宋体" w:cs="Times New Roman"/>
      <w:sz w:val="18"/>
      <w:szCs w:val="18"/>
    </w:rPr>
  </w:style>
  <w:style w:type="character" w:styleId="802" w:customStyle="1">
    <w:name w:val="签名 字符"/>
    <w:basedOn w:val="716"/>
    <w:qFormat/>
  </w:style>
  <w:style w:type="character" w:styleId="803" w:customStyle="1">
    <w:name w:val="签名 字符1"/>
    <w:link w:val="744"/>
    <w:qFormat/>
    <w:rPr>
      <w:rFonts w:ascii="Times New Roman" w:hAnsi="Times New Roman" w:eastAsia="仿宋_GB2312" w:cs="Times New Roman"/>
      <w:sz w:val="24"/>
      <w:szCs w:val="20"/>
    </w:rPr>
  </w:style>
  <w:style w:type="character" w:styleId="804" w:customStyle="1">
    <w:name w:val="脚注文本 字符"/>
    <w:basedOn w:val="716"/>
    <w:link w:val="750"/>
    <w:rPr>
      <w:rFonts w:ascii="Times New Roman" w:hAnsi="Times New Roman" w:eastAsia="宋体" w:cs="Times New Roman"/>
      <w:sz w:val="18"/>
      <w:szCs w:val="18"/>
    </w:rPr>
  </w:style>
  <w:style w:type="character" w:styleId="805" w:customStyle="1">
    <w:name w:val="正文文本缩进 3 字符"/>
    <w:basedOn w:val="716"/>
    <w:link w:val="752"/>
    <w:rPr>
      <w:rFonts w:ascii="Arial" w:hAnsi="Arial" w:eastAsia="仿宋_GB2312" w:cs="Arial"/>
      <w:color w:val="ffff00"/>
      <w:sz w:val="32"/>
      <w:szCs w:val="32"/>
    </w:rPr>
  </w:style>
  <w:style w:type="character" w:styleId="806" w:customStyle="1">
    <w:name w:val="正文文本 2 字符"/>
    <w:basedOn w:val="716"/>
    <w:link w:val="758"/>
    <w:rPr>
      <w:rFonts w:ascii="楷体_GB2312" w:hAnsi="Times New Roman" w:eastAsia="楷体_GB2312" w:cs="Times New Roman"/>
      <w:sz w:val="28"/>
      <w:szCs w:val="28"/>
    </w:rPr>
  </w:style>
  <w:style w:type="character" w:styleId="807" w:customStyle="1">
    <w:name w:val="HTML 预设格式 字符"/>
    <w:basedOn w:val="716"/>
    <w:link w:val="759"/>
    <w:rPr>
      <w:rFonts w:ascii="Arial" w:hAnsi="Arial" w:eastAsia="宋体" w:cs="Times New Roman"/>
      <w:sz w:val="24"/>
      <w:szCs w:val="24"/>
    </w:rPr>
  </w:style>
  <w:style w:type="character" w:styleId="808" w:customStyle="1">
    <w:name w:val="批注主题 字符"/>
    <w:basedOn w:val="788"/>
    <w:rPr>
      <w:b/>
      <w:bCs/>
    </w:rPr>
  </w:style>
  <w:style w:type="character" w:styleId="809" w:customStyle="1">
    <w:name w:val="批注主题 字符1"/>
    <w:link w:val="762"/>
    <w:rPr>
      <w:rFonts w:ascii="Times New Roman" w:hAnsi="Times New Roman" w:eastAsia="宋体" w:cs="Times New Roman"/>
      <w:b/>
      <w:bCs/>
      <w:szCs w:val="21"/>
    </w:rPr>
  </w:style>
  <w:style w:type="character" w:styleId="810" w:customStyle="1">
    <w:name w:val="正文首行缩进 字符"/>
    <w:basedOn w:val="791"/>
    <w:link w:val="763"/>
    <w:rPr>
      <w:rFonts w:ascii="仿宋_GB2312" w:hAnsi="Times New Roman" w:eastAsia="仿宋_GB2312" w:cs="Times New Roman"/>
      <w:sz w:val="30"/>
      <w:szCs w:val="30"/>
    </w:rPr>
  </w:style>
  <w:style w:type="character" w:styleId="811" w:customStyle="1">
    <w:name w:val="正文首行缩进 2 字符"/>
    <w:basedOn w:val="793"/>
    <w:link w:val="764"/>
    <w:rPr>
      <w:rFonts w:ascii="宋体" w:hAnsi="宋体" w:eastAsia="宋体" w:cs="Times New Roman"/>
      <w:szCs w:val="20"/>
    </w:rPr>
  </w:style>
  <w:style w:type="character" w:styleId="812" w:customStyle="1">
    <w:name w:val="font5 Char"/>
    <w:rPr>
      <w:rFonts w:ascii="宋体" w:hAnsi="宋体" w:eastAsia="宋体"/>
      <w:sz w:val="28"/>
      <w:szCs w:val="28"/>
      <w:lang w:val="en-US" w:eastAsia="zh-CN" w:bidi="ar-SA"/>
    </w:rPr>
  </w:style>
  <w:style w:type="character" w:styleId="813" w:customStyle="1">
    <w:name w:val="二级目录 Char"/>
    <w:link w:val="814"/>
    <w:rPr>
      <w:b/>
      <w:sz w:val="30"/>
      <w:szCs w:val="28"/>
    </w:rPr>
  </w:style>
  <w:style w:type="paragraph" w:styleId="814" w:customStyle="1">
    <w:name w:val="二级目录"/>
    <w:next w:val="706"/>
    <w:link w:val="813"/>
    <w:pPr>
      <w:numPr>
        <w:numId w:val="2"/>
      </w:numPr>
      <w:tabs>
        <w:tab w:val="left" w:pos="1145" w:leader="none"/>
      </w:tabs>
      <w:outlineLvl w:val="1"/>
    </w:pPr>
    <w:rPr>
      <w:rFonts w:asciiTheme="minorHAnsi" w:hAnsiTheme="minorHAnsi" w:eastAsiaTheme="minorEastAsia" w:cstheme="minorBidi"/>
      <w:b/>
      <w:sz w:val="30"/>
      <w:szCs w:val="28"/>
    </w:rPr>
  </w:style>
  <w:style w:type="character" w:styleId="815" w:customStyle="1">
    <w:name w:val="列出段落 Char"/>
    <w:link w:val="816"/>
    <w:rPr>
      <w:rFonts w:ascii="Calibri" w:hAnsi="Calibri"/>
      <w:sz w:val="24"/>
      <w:szCs w:val="24"/>
      <w:lang w:eastAsia="en-US" w:bidi="en-US"/>
    </w:rPr>
  </w:style>
  <w:style w:type="paragraph" w:styleId="816" w:customStyle="1">
    <w:name w:val="列出段落1"/>
    <w:basedOn w:val="706"/>
    <w:link w:val="815"/>
    <w:qFormat/>
    <w:pPr>
      <w:contextualSpacing/>
      <w:ind w:left="720"/>
      <w:jc w:val="left"/>
      <w:widowControl/>
    </w:pPr>
    <w:rPr>
      <w:rFonts w:ascii="Calibri" w:hAnsi="Calibri"/>
      <w:sz w:val="24"/>
      <w:szCs w:val="24"/>
      <w:lang w:eastAsia="en-US" w:bidi="en-US"/>
    </w:rPr>
  </w:style>
  <w:style w:type="paragraph" w:styleId="817" w:customStyle="1">
    <w:name w:val="Body Text(ch)"/>
    <w:basedOn w:val="706"/>
    <w:next w:val="728"/>
    <w:pPr>
      <w:spacing w:after="120"/>
    </w:pPr>
    <w:rPr>
      <w:rFonts w:ascii="宋体" w:hAnsi="Arial" w:eastAsia="宋体" w:cs="Times New Roman"/>
      <w:bCs/>
      <w:iCs/>
      <w:szCs w:val="24"/>
    </w:rPr>
  </w:style>
  <w:style w:type="paragraph" w:styleId="818" w:customStyle="1">
    <w:name w:val="xl27"/>
    <w:basedOn w:val="70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9" w:customStyle="1">
    <w:name w:val="xl26"/>
    <w:basedOn w:val="70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20" w:customStyle="1">
    <w:name w:val="Char"/>
    <w:basedOn w:val="706"/>
    <w:pPr>
      <w:ind w:firstLine="200"/>
      <w:tabs>
        <w:tab w:val="left" w:pos="360" w:leader="none"/>
      </w:tabs>
    </w:pPr>
    <w:rPr>
      <w:rFonts w:ascii="Times New Roman" w:hAnsi="Times New Roman" w:eastAsia="宋体" w:cs="Times New Roman"/>
      <w:sz w:val="28"/>
      <w:szCs w:val="30"/>
    </w:rPr>
  </w:style>
  <w:style w:type="paragraph" w:styleId="821" w:customStyle="1">
    <w:name w:val="普通正文"/>
    <w:basedOn w:val="706"/>
    <w:link w:val="822"/>
    <w:qFormat/>
    <w:pPr>
      <w:ind w:firstLine="480"/>
      <w:jc w:val="left"/>
      <w:spacing w:before="120" w:after="120" w:line="360" w:lineRule="auto"/>
    </w:pPr>
    <w:rPr>
      <w:rFonts w:ascii="Arial" w:hAnsi="Arial" w:eastAsia="宋体" w:cs="Times New Roman"/>
      <w:sz w:val="24"/>
      <w:szCs w:val="24"/>
    </w:rPr>
  </w:style>
  <w:style w:type="character" w:styleId="822" w:customStyle="1">
    <w:name w:val="普通正文 Char"/>
    <w:link w:val="821"/>
    <w:qFormat/>
    <w:rPr>
      <w:rFonts w:ascii="Arial" w:hAnsi="Arial" w:eastAsia="宋体" w:cs="Times New Roman"/>
      <w:sz w:val="24"/>
      <w:szCs w:val="24"/>
    </w:rPr>
  </w:style>
  <w:style w:type="paragraph" w:styleId="823" w:customStyle="1">
    <w:name w:val="table_lines"/>
    <w:basedOn w:val="706"/>
    <w:pPr>
      <w:jc w:val="left"/>
      <w:widowControl/>
    </w:pPr>
    <w:rPr>
      <w:rFonts w:ascii="Times New Roman" w:hAnsi="Times New Roman" w:eastAsia="宋体" w:cs="Times New Roman"/>
      <w:sz w:val="20"/>
      <w:szCs w:val="20"/>
      <w:lang w:val="de-DE" w:eastAsia="de-DE"/>
    </w:rPr>
  </w:style>
  <w:style w:type="paragraph" w:styleId="824" w:customStyle="1">
    <w:name w:val="附录1"/>
    <w:pPr>
      <w:ind w:left="907" w:hanging="907"/>
      <w:spacing w:before="240" w:line="600" w:lineRule="atLeast"/>
      <w:tabs>
        <w:tab w:val="left" w:pos="907" w:leader="none"/>
      </w:tabs>
    </w:pPr>
    <w:rPr>
      <w:b/>
      <w:i/>
      <w:sz w:val="28"/>
    </w:rPr>
  </w:style>
  <w:style w:type="paragraph" w:styleId="825" w:customStyle="1">
    <w:name w:val="font7"/>
    <w:basedOn w:val="706"/>
    <w:pPr>
      <w:jc w:val="left"/>
      <w:spacing w:before="100" w:beforeAutospacing="1" w:after="100" w:afterAutospacing="1"/>
      <w:widowControl/>
    </w:pPr>
    <w:rPr>
      <w:rFonts w:hint="eastAsia" w:ascii="宋体" w:hAnsi="宋体" w:eastAsia="宋体" w:cs="Times New Roman"/>
      <w:sz w:val="18"/>
      <w:szCs w:val="18"/>
    </w:rPr>
  </w:style>
  <w:style w:type="paragraph" w:styleId="826" w:customStyle="1">
    <w:name w:val="Char Char Char Char"/>
    <w:basedOn w:val="724"/>
    <w:pPr>
      <w:spacing w:line="360" w:lineRule="auto"/>
    </w:pPr>
    <w:rPr>
      <w:rFonts w:ascii="Tahoma" w:hAnsi="Tahoma"/>
      <w:sz w:val="24"/>
      <w:szCs w:val="24"/>
    </w:rPr>
  </w:style>
  <w:style w:type="paragraph" w:styleId="827">
    <w:name w:val="List Paragraph"/>
    <w:basedOn w:val="706"/>
    <w:link w:val="828"/>
    <w:uiPriority w:val="34"/>
    <w:qFormat/>
    <w:pPr>
      <w:contextualSpacing/>
      <w:ind w:left="720"/>
      <w:jc w:val="left"/>
      <w:widowControl/>
    </w:pPr>
    <w:rPr>
      <w:rFonts w:ascii="Calibri" w:hAnsi="Calibri" w:eastAsia="宋体" w:cs="Times New Roman"/>
      <w:sz w:val="24"/>
      <w:szCs w:val="24"/>
      <w:lang w:eastAsia="en-US" w:bidi="en-US"/>
    </w:rPr>
  </w:style>
  <w:style w:type="character" w:styleId="828" w:customStyle="1">
    <w:name w:val="列出段落 字符"/>
    <w:link w:val="827"/>
    <w:uiPriority w:val="34"/>
    <w:qFormat/>
    <w:rPr>
      <w:rFonts w:ascii="Calibri" w:hAnsi="Calibri" w:eastAsia="宋体" w:cs="Times New Roman"/>
      <w:sz w:val="24"/>
      <w:szCs w:val="24"/>
      <w:lang w:eastAsia="en-US" w:bidi="en-US"/>
    </w:rPr>
  </w:style>
  <w:style w:type="paragraph" w:styleId="829" w:customStyle="1">
    <w:name w:val="4"/>
    <w:basedOn w:val="706"/>
    <w:next w:val="752"/>
    <w:pPr>
      <w:ind w:firstLine="420"/>
      <w:spacing w:line="360" w:lineRule="auto"/>
    </w:pPr>
    <w:rPr>
      <w:rFonts w:ascii="Times New Roman" w:hAnsi="Times New Roman" w:eastAsia="宋体" w:cs="Times New Roman"/>
      <w:color w:val="ff0000"/>
      <w:sz w:val="24"/>
      <w:szCs w:val="24"/>
    </w:rPr>
  </w:style>
  <w:style w:type="paragraph" w:styleId="830" w:customStyle="1">
    <w:name w:val="普通 (Web)"/>
    <w:basedOn w:val="706"/>
    <w:pPr>
      <w:jc w:val="left"/>
      <w:spacing w:before="100" w:beforeAutospacing="1" w:after="100" w:afterAutospacing="1"/>
      <w:widowControl/>
    </w:pPr>
    <w:rPr>
      <w:rFonts w:ascii="宋体" w:hAnsi="宋体" w:eastAsia="宋体" w:cs="Times New Roman"/>
      <w:sz w:val="24"/>
      <w:szCs w:val="24"/>
    </w:rPr>
  </w:style>
  <w:style w:type="paragraph" w:styleId="831" w:customStyle="1">
    <w:name w:val="Char Char Char Char Char Char Char Char Char Char"/>
    <w:basedOn w:val="706"/>
    <w:pPr>
      <w:spacing w:line="360" w:lineRule="auto"/>
    </w:pPr>
    <w:rPr>
      <w:rFonts w:ascii="Times New Roman" w:hAnsi="Times New Roman" w:eastAsia="宋体" w:cs="Times New Roman"/>
      <w:sz w:val="24"/>
      <w:szCs w:val="20"/>
    </w:rPr>
  </w:style>
  <w:style w:type="paragraph" w:styleId="832" w:customStyle="1">
    <w:name w:val="样式1"/>
    <w:basedOn w:val="706"/>
    <w:pPr>
      <w:numPr>
        <w:numId w:val="3"/>
      </w:numPr>
    </w:pPr>
    <w:rPr>
      <w:rFonts w:ascii="宋体" w:hAnsi="宋体" w:eastAsia="宋体" w:cs="Times New Roman"/>
      <w:szCs w:val="21"/>
    </w:rPr>
  </w:style>
  <w:style w:type="paragraph" w:styleId="833" w:customStyle="1">
    <w:name w:val="font6"/>
    <w:basedOn w:val="706"/>
    <w:pPr>
      <w:jc w:val="left"/>
      <w:spacing w:before="100" w:beforeAutospacing="1" w:after="100" w:afterAutospacing="1"/>
      <w:widowControl/>
    </w:pPr>
    <w:rPr>
      <w:rFonts w:hint="eastAsia" w:ascii="宋体" w:hAnsi="宋体" w:eastAsia="宋体" w:cs="Times New Roman"/>
      <w:sz w:val="28"/>
      <w:szCs w:val="28"/>
      <w:u w:val="single"/>
    </w:rPr>
  </w:style>
  <w:style w:type="paragraph" w:styleId="834" w:customStyle="1">
    <w:name w:val="xl25"/>
    <w:basedOn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customStyle="1">
    <w:name w:val="图标"/>
    <w:basedOn w:val="706"/>
    <w:next w:val="70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6" w:customStyle="1">
    <w:name w:val="标题3"/>
    <w:basedOn w:val="706"/>
    <w:next w:val="706"/>
    <w:pPr>
      <w:ind w:firstLine="624"/>
      <w:spacing w:line="590" w:lineRule="atLeast"/>
    </w:pPr>
    <w:rPr>
      <w:rFonts w:ascii="方正黑体_GBK" w:hAnsi="Times New Roman" w:eastAsia="方正黑体_GBK" w:cs="Times New Roman"/>
      <w:sz w:val="32"/>
      <w:szCs w:val="32"/>
    </w:rPr>
  </w:style>
  <w:style w:type="paragraph" w:styleId="837" w:customStyle="1">
    <w:name w:val="xl24"/>
    <w:basedOn w:val="70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8" w:customStyle="1">
    <w:name w:val="xl29"/>
    <w:basedOn w:val="706"/>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39" w:customStyle="1">
    <w:name w:val="Char Char Char Char Char Char Char Char"/>
    <w:basedOn w:val="706"/>
    <w:pPr>
      <w:jc w:val="left"/>
      <w:spacing w:after="160" w:line="240" w:lineRule="exact"/>
      <w:widowControl/>
    </w:pPr>
    <w:rPr>
      <w:rFonts w:ascii="Verdana" w:hAnsi="Verdana" w:eastAsia="宋体" w:cs="Times New Roman"/>
      <w:sz w:val="20"/>
      <w:szCs w:val="20"/>
      <w:lang w:eastAsia="en-US"/>
    </w:rPr>
  </w:style>
  <w:style w:type="paragraph" w:styleId="840" w:customStyle="1">
    <w:name w:val="xl28"/>
    <w:basedOn w:val="70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41" w:customStyle="1">
    <w:name w:val="xl30"/>
    <w:basedOn w:val="706"/>
    <w:pPr>
      <w:jc w:val="center"/>
      <w:spacing w:before="100" w:beforeAutospacing="1" w:after="100" w:afterAutospacing="1"/>
      <w:widowControl/>
    </w:pPr>
    <w:rPr>
      <w:rFonts w:ascii="宋体" w:hAnsi="宋体" w:eastAsia="宋体" w:cs="Times New Roman"/>
      <w:b/>
      <w:bCs/>
      <w:sz w:val="36"/>
      <w:szCs w:val="36"/>
    </w:rPr>
  </w:style>
  <w:style w:type="paragraph" w:styleId="842" w:customStyle="1">
    <w:name w:val="table_1stline"/>
    <w:basedOn w:val="706"/>
    <w:pPr>
      <w:jc w:val="left"/>
      <w:spacing w:before="120"/>
      <w:widowControl/>
    </w:pPr>
    <w:rPr>
      <w:rFonts w:ascii="Times New Roman" w:hAnsi="Times New Roman" w:eastAsia="宋体" w:cs="Times New Roman"/>
      <w:bCs/>
      <w:sz w:val="20"/>
      <w:szCs w:val="20"/>
      <w:lang w:val="de-DE" w:eastAsia="de-DE"/>
    </w:rPr>
  </w:style>
  <w:style w:type="paragraph" w:styleId="843" w:customStyle="1">
    <w:name w:val="font5"/>
    <w:basedOn w:val="706"/>
    <w:pPr>
      <w:jc w:val="left"/>
      <w:spacing w:before="100" w:beforeAutospacing="1" w:after="100" w:afterAutospacing="1"/>
      <w:widowControl/>
    </w:pPr>
    <w:rPr>
      <w:rFonts w:hint="eastAsia" w:ascii="宋体" w:hAnsi="宋体" w:eastAsia="宋体" w:cs="Times New Roman"/>
      <w:sz w:val="28"/>
      <w:szCs w:val="28"/>
    </w:rPr>
  </w:style>
  <w:style w:type="paragraph" w:styleId="844" w:customStyle="1">
    <w:name w:val="标题1"/>
    <w:basedOn w:val="706"/>
    <w:next w:val="70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customStyle="1">
    <w:name w:val="修订1"/>
    <w:uiPriority w:val="99"/>
    <w:semiHidden/>
    <w:rPr>
      <w:sz w:val="21"/>
      <w:szCs w:val="21"/>
    </w:rPr>
  </w:style>
  <w:style w:type="paragraph" w:styleId="846">
    <w:name w:val="No Spacing"/>
    <w:uiPriority w:val="99"/>
    <w:qFormat/>
    <w:pPr>
      <w:jc w:val="both"/>
      <w:widowControl w:val="off"/>
    </w:pPr>
    <w:rPr>
      <w:sz w:val="21"/>
      <w:szCs w:val="21"/>
    </w:rPr>
  </w:style>
  <w:style w:type="character" w:styleId="847" w:customStyle="1">
    <w:name w:val="标题 2 字符2"/>
    <w:rPr>
      <w:rFonts w:eastAsia="楷体_GB2312"/>
      <w:b/>
      <w:bCs/>
      <w:sz w:val="28"/>
      <w:szCs w:val="28"/>
    </w:rPr>
  </w:style>
  <w:style w:type="character" w:styleId="848" w:customStyle="1">
    <w:name w:val="正文缩进 字符"/>
    <w:rPr>
      <w:sz w:val="21"/>
    </w:rPr>
  </w:style>
  <w:style w:type="character" w:styleId="849" w:customStyle="1">
    <w:name w:val="批注文字 字符1"/>
    <w:rPr>
      <w:sz w:val="21"/>
    </w:rPr>
  </w:style>
  <w:style w:type="character" w:styleId="850" w:customStyle="1">
    <w:name w:val="正文文本 字符2"/>
    <w:qFormat/>
    <w:rPr>
      <w:rFonts w:ascii="楷体_GB2312" w:hAnsi="Arial" w:eastAsia="楷体_GB2312"/>
      <w:sz w:val="28"/>
    </w:rPr>
  </w:style>
  <w:style w:type="character" w:styleId="851" w:customStyle="1">
    <w:name w:val="日期 字符1"/>
    <w:rPr>
      <w:rFonts w:ascii="宋体"/>
      <w:sz w:val="28"/>
    </w:rPr>
  </w:style>
  <w:style w:type="paragraph" w:styleId="852" w:customStyle="1">
    <w:name w:val="Char Char Char"/>
    <w:basedOn w:val="706"/>
    <w:pPr>
      <w:numPr>
        <w:numId w:val="4"/>
      </w:numPr>
      <w:tabs>
        <w:tab w:val="left" w:pos="1545" w:leader="none"/>
      </w:tabs>
    </w:pPr>
    <w:rPr>
      <w:rFonts w:ascii="Times New Roman" w:hAnsi="Times New Roman" w:eastAsia="宋体" w:cs="Times New Roman"/>
      <w:szCs w:val="20"/>
    </w:rPr>
  </w:style>
  <w:style w:type="paragraph" w:styleId="853" w:customStyle="1">
    <w:name w:val="Plain Text1"/>
    <w:basedOn w:val="706"/>
    <w:rPr>
      <w:rFonts w:ascii="宋体" w:hAnsi="Courier New" w:eastAsia="楷体_GB2312" w:cs="Times New Roman"/>
      <w:sz w:val="28"/>
      <w:szCs w:val="20"/>
    </w:rPr>
  </w:style>
  <w:style w:type="paragraph" w:styleId="854" w:customStyle="1">
    <w:name w:val="Default"/>
    <w:qFormat/>
    <w:pPr>
      <w:widowControl w:val="off"/>
    </w:pPr>
    <w:rPr>
      <w:color w:val="000000"/>
      <w:sz w:val="24"/>
      <w:szCs w:val="24"/>
    </w:rPr>
  </w:style>
  <w:style w:type="paragraph" w:styleId="855" w:customStyle="1">
    <w:name w:val="Char1 Char Char Char"/>
    <w:basedOn w:val="706"/>
    <w:rPr>
      <w:rFonts w:ascii="Tahoma" w:hAnsi="Tahoma" w:eastAsia="宋体" w:cs="Times New Roman"/>
      <w:sz w:val="24"/>
      <w:szCs w:val="20"/>
    </w:rPr>
  </w:style>
  <w:style w:type="paragraph" w:styleId="856" w:customStyle="1">
    <w:name w:val="Char Char1 Char Char Char Char Char Char Char"/>
    <w:basedOn w:val="706"/>
    <w:rPr>
      <w:rFonts w:ascii="Calibri Light" w:hAnsi="Calibri Light" w:eastAsia="宋体" w:cs="Berlin Sans FB Demi"/>
      <w:sz w:val="24"/>
      <w:szCs w:val="20"/>
    </w:rPr>
  </w:style>
  <w:style w:type="paragraph" w:styleId="857" w:customStyle="1">
    <w:name w:val="Char Char"/>
    <w:basedOn w:val="706"/>
    <w:rPr>
      <w:rFonts w:ascii="Times New Roman" w:hAnsi="Times New Roman" w:eastAsia="宋体" w:cs="Times New Roman"/>
      <w:szCs w:val="21"/>
    </w:rPr>
  </w:style>
  <w:style w:type="paragraph" w:styleId="858" w:customStyle="1">
    <w:name w:val="_Style 12"/>
    <w:basedOn w:val="724"/>
    <w:pPr>
      <w:jc w:val="left"/>
      <w:spacing w:line="360" w:lineRule="auto"/>
      <w:widowControl/>
    </w:pPr>
    <w:rPr>
      <w:sz w:val="24"/>
      <w:szCs w:val="24"/>
    </w:rPr>
  </w:style>
  <w:style w:type="character" w:styleId="859" w:customStyle="1">
    <w:name w:val="正文缩进 Char1"/>
    <w:qFormat/>
    <w:rPr>
      <w:rFonts w:eastAsia="楷体_GB2312"/>
      <w:sz w:val="24"/>
    </w:rPr>
  </w:style>
  <w:style w:type="character" w:styleId="860" w:customStyle="1">
    <w:name w:val="纯文本 字符1"/>
    <w:qFormat/>
    <w:rPr>
      <w:rFonts w:ascii="宋体" w:hAnsi="Courier New"/>
    </w:rPr>
  </w:style>
  <w:style w:type="character" w:styleId="861" w:customStyle="1">
    <w:name w:val="未处理的提及1"/>
    <w:uiPriority w:val="99"/>
    <w:unhideWhenUsed/>
    <w:rPr>
      <w:color w:val="605e5c"/>
      <w:shd w:val="clear" w:color="auto" w:fill="e1dfdd"/>
    </w:rPr>
  </w:style>
  <w:style w:type="character" w:styleId="862" w:customStyle="1">
    <w:name w:val="正文文本 字符1"/>
    <w:qFormat/>
    <w:rPr>
      <w:rFonts w:ascii="楷体_GB2312" w:hAnsi="Arial" w:eastAsia="楷体_GB2312"/>
      <w:sz w:val="28"/>
    </w:rPr>
  </w:style>
  <w:style w:type="paragraph" w:styleId="863" w:customStyle="1">
    <w:name w:val="正文1"/>
    <w:next w:val="706"/>
    <w:qFormat/>
    <w:pPr>
      <w:jc w:val="both"/>
      <w:widowControl w:val="off"/>
    </w:pPr>
    <w:rPr>
      <w:rFonts w:eastAsia="Times New Roman"/>
      <w:color w:val="000000"/>
      <w:sz w:val="21"/>
      <w:szCs w:val="21"/>
    </w:rPr>
  </w:style>
  <w:style w:type="paragraph" w:styleId="864" w:customStyle="1">
    <w:name w:val="_正文段落"/>
    <w:basedOn w:val="706"/>
    <w:link w:val="865"/>
    <w:qFormat/>
    <w:pPr>
      <w:ind w:firstLine="480"/>
      <w:spacing w:line="360" w:lineRule="auto"/>
    </w:pPr>
    <w:rPr>
      <w:rFonts w:ascii="宋体" w:hAnsi="宋体" w:eastAsia="宋体" w:cs="Times New Roman"/>
      <w:sz w:val="24"/>
      <w:szCs w:val="24"/>
    </w:rPr>
  </w:style>
  <w:style w:type="character" w:styleId="865" w:customStyle="1">
    <w:name w:val="_正文段落 Char"/>
    <w:link w:val="864"/>
    <w:qFormat/>
    <w:rPr>
      <w:rFonts w:ascii="宋体" w:hAnsi="宋体" w:eastAsia="宋体" w:cs="Times New Roman"/>
      <w:sz w:val="24"/>
      <w:szCs w:val="24"/>
    </w:rPr>
  </w:style>
  <w:style w:type="character" w:styleId="866" w:customStyle="1">
    <w:name w:val="cf01"/>
    <w:rPr>
      <w:rFonts w:hint="eastAsia" w:ascii="Microsoft YaHei UI" w:hAnsi="Microsoft YaHei UI" w:eastAsia="Microsoft YaHei UI"/>
      <w:b/>
      <w:bCs/>
      <w:sz w:val="18"/>
      <w:szCs w:val="18"/>
    </w:rPr>
  </w:style>
  <w:style w:type="character" w:styleId="867" w:customStyle="1">
    <w:name w:val="标题 2 字符1"/>
    <w:qFormat/>
    <w:rPr>
      <w:rFonts w:eastAsia="楷体_GB2312"/>
      <w:b/>
      <w:bCs/>
      <w:sz w:val="28"/>
      <w:szCs w:val="28"/>
    </w:rPr>
  </w:style>
  <w:style w:type="paragraph" w:styleId="868" w:customStyle="1">
    <w:name w:val="pf0"/>
    <w:basedOn w:val="706"/>
    <w:qFormat/>
    <w:pPr>
      <w:jc w:val="left"/>
      <w:spacing w:before="100" w:beforeAutospacing="1" w:after="100" w:afterAutospacing="1"/>
      <w:widowControl/>
    </w:pPr>
    <w:rPr>
      <w:rFonts w:ascii="宋体" w:hAnsi="宋体" w:eastAsia="宋体" w:cs="宋体"/>
      <w:sz w:val="24"/>
      <w:szCs w:val="24"/>
    </w:rPr>
  </w:style>
  <w:style w:type="character" w:styleId="869" w:customStyle="1">
    <w:name w:val="cf11"/>
    <w:rPr>
      <w:rFonts w:hint="eastAsia" w:ascii="Microsoft YaHei UI" w:hAnsi="Microsoft YaHei UI" w:eastAsia="Microsoft YaHei UI"/>
      <w:sz w:val="18"/>
      <w:szCs w:val="18"/>
    </w:rPr>
  </w:style>
  <w:style w:type="character" w:styleId="870" w:customStyle="1">
    <w:name w:val="cf21"/>
    <w:rPr>
      <w:rFonts w:hint="eastAsia" w:ascii="Microsoft YaHei UI" w:hAnsi="Microsoft YaHei UI" w:eastAsia="Microsoft YaHei UI"/>
      <w:b/>
      <w:bCs/>
      <w:sz w:val="18"/>
      <w:szCs w:val="18"/>
    </w:rPr>
  </w:style>
  <w:style w:type="paragraph" w:styleId="871" w:customStyle="1">
    <w:name w:val="TOC 标题11"/>
    <w:basedOn w:val="707"/>
    <w:next w:val="70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872" w:customStyle="1">
    <w:name w:val="TOC 标题1"/>
    <w:basedOn w:val="707"/>
    <w:next w:val="706"/>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22</cp:revision>
  <dcterms:created xsi:type="dcterms:W3CDTF">2025-10-29T01:44:00Z</dcterms:created>
  <dcterms:modified xsi:type="dcterms:W3CDTF">2025-11-24T02:10:13Z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